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80E2" w14:textId="01CE5564" w:rsidR="00367E7F" w:rsidRPr="006838A8" w:rsidRDefault="00367E7F" w:rsidP="00677AC0">
      <w:pPr>
        <w:spacing w:line="276" w:lineRule="auto"/>
        <w:jc w:val="both"/>
        <w:rPr>
          <w:rFonts w:ascii="Swis721 Cn BT" w:hAnsi="Swis721 Cn BT"/>
          <w:b/>
          <w:bCs/>
        </w:rPr>
      </w:pPr>
      <w:r>
        <w:rPr>
          <w:rFonts w:ascii="Swis721 Cn BT" w:hAnsi="Swis721 Cn BT"/>
          <w:b/>
          <w:bCs/>
        </w:rPr>
        <w:t>ANÁLISIS SITUACIÓN FINANCIERA 2024</w:t>
      </w:r>
    </w:p>
    <w:p w14:paraId="10F8BE6A" w14:textId="09CED822" w:rsidR="00184833" w:rsidRPr="00184833" w:rsidRDefault="00184833" w:rsidP="00677AC0">
      <w:pPr>
        <w:spacing w:line="276" w:lineRule="auto"/>
        <w:jc w:val="both"/>
        <w:rPr>
          <w:rFonts w:ascii="Swis721 Cn BT" w:hAnsi="Swis721 Cn BT"/>
          <w:b/>
          <w:bCs/>
        </w:rPr>
      </w:pPr>
      <w:r w:rsidRPr="00184833">
        <w:rPr>
          <w:rFonts w:ascii="Swis721 Cn BT" w:hAnsi="Swis721 Cn BT"/>
          <w:b/>
          <w:bCs/>
        </w:rPr>
        <w:t>1. Resumen Ejecutivo</w:t>
      </w:r>
    </w:p>
    <w:p w14:paraId="1DECC42D" w14:textId="70DBF0CE" w:rsidR="003C7393" w:rsidRDefault="003C7393" w:rsidP="00677AC0">
      <w:pPr>
        <w:spacing w:line="276" w:lineRule="auto"/>
        <w:jc w:val="both"/>
        <w:rPr>
          <w:rFonts w:ascii="Swis721 Cn BT" w:hAnsi="Swis721 Cn BT"/>
        </w:rPr>
      </w:pPr>
      <w:r w:rsidRPr="003C7393">
        <w:rPr>
          <w:rFonts w:ascii="Swis721 Cn BT" w:hAnsi="Swis721 Cn BT"/>
        </w:rPr>
        <w:t>Durante el ejercicio 2024, la institución presenta una pérdida neta de M$2.001.8</w:t>
      </w:r>
      <w:r w:rsidR="00497648">
        <w:rPr>
          <w:rFonts w:ascii="Swis721 Cn BT" w:hAnsi="Swis721 Cn BT"/>
        </w:rPr>
        <w:t>21</w:t>
      </w:r>
      <w:r w:rsidRPr="003C7393">
        <w:rPr>
          <w:rFonts w:ascii="Swis721 Cn BT" w:hAnsi="Swis721 Cn BT"/>
        </w:rPr>
        <w:t xml:space="preserve">. No obstante, es importante destacar que esta pérdida no obedece a una disminución en la capacidad operativa ni a un deterioro en la eficiencia de gestión, sino que se explica, en su mayoría, por ajustes contables no </w:t>
      </w:r>
      <w:r w:rsidR="00887E14">
        <w:rPr>
          <w:rFonts w:ascii="Swis721 Cn BT" w:hAnsi="Swis721 Cn BT"/>
        </w:rPr>
        <w:t>monetarios</w:t>
      </w:r>
      <w:r w:rsidRPr="003C7393">
        <w:rPr>
          <w:rFonts w:ascii="Swis721 Cn BT" w:hAnsi="Swis721 Cn BT"/>
        </w:rPr>
        <w:t>. Esta afirmación se respalda en que el EBITDA del período se mantiene positivo y dentro del rango similar al año inmediatamente anterior, lo que demuestra que la institución continúa generando ingresos operativos suficientes para cubrir sus costos directos y gastos recurrentes, sin comprometer su sostenibilidad. Este resultado, además, está en línea con la información financiera reportada a la Superintendencia de Educación Superior, así como con las evaluaciones recibidas en los informes de clasificación de riesgo, que reconocen la solidez estructural y la estabilidad operativa de la universidad.</w:t>
      </w:r>
    </w:p>
    <w:p w14:paraId="412B3391" w14:textId="11F937EA" w:rsidR="00150085" w:rsidRPr="003C7393" w:rsidRDefault="002D0FBB" w:rsidP="00677AC0">
      <w:pPr>
        <w:spacing w:line="276" w:lineRule="auto"/>
        <w:jc w:val="both"/>
        <w:rPr>
          <w:rFonts w:ascii="Swis721 Cn BT" w:hAnsi="Swis721 Cn BT"/>
          <w:lang w:val="es-ES"/>
        </w:rPr>
      </w:pPr>
      <w:r w:rsidRPr="002D0FBB">
        <w:rPr>
          <w:noProof/>
        </w:rPr>
        <w:drawing>
          <wp:inline distT="0" distB="0" distL="0" distR="0" wp14:anchorId="40DBF0D2" wp14:editId="0DAC2C8C">
            <wp:extent cx="5612130" cy="4451350"/>
            <wp:effectExtent l="0" t="0" r="7620" b="6350"/>
            <wp:docPr id="163988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451350"/>
                    </a:xfrm>
                    <a:prstGeom prst="rect">
                      <a:avLst/>
                    </a:prstGeom>
                    <a:noFill/>
                    <a:ln>
                      <a:noFill/>
                    </a:ln>
                  </pic:spPr>
                </pic:pic>
              </a:graphicData>
            </a:graphic>
          </wp:inline>
        </w:drawing>
      </w:r>
    </w:p>
    <w:p w14:paraId="2813A702" w14:textId="3279DA14" w:rsidR="00D06B2B" w:rsidRPr="00D06B2B" w:rsidRDefault="00D06B2B" w:rsidP="00677AC0">
      <w:pPr>
        <w:spacing w:line="276" w:lineRule="auto"/>
        <w:jc w:val="center"/>
        <w:rPr>
          <w:rFonts w:ascii="Swis721 Cn BT" w:hAnsi="Swis721 Cn BT"/>
          <w:i/>
          <w:iCs/>
          <w:lang w:val="es-ES"/>
        </w:rPr>
      </w:pPr>
      <w:r w:rsidRPr="00D06B2B">
        <w:rPr>
          <w:rFonts w:ascii="Swis721 Cn BT" w:hAnsi="Swis721 Cn BT"/>
          <w:i/>
          <w:iCs/>
          <w:lang w:val="es-ES"/>
        </w:rPr>
        <w:t>Tabla1: Estado de resultado</w:t>
      </w:r>
    </w:p>
    <w:p w14:paraId="33931D7B" w14:textId="77777777" w:rsidR="00BF6E1C" w:rsidRDefault="00BF6E1C" w:rsidP="00677AC0">
      <w:pPr>
        <w:spacing w:line="276" w:lineRule="auto"/>
        <w:jc w:val="both"/>
        <w:rPr>
          <w:rFonts w:ascii="Swis721 Cn BT" w:hAnsi="Swis721 Cn BT"/>
        </w:rPr>
      </w:pPr>
      <w:r w:rsidRPr="00BF6E1C">
        <w:rPr>
          <w:rFonts w:ascii="Swis721 Cn BT" w:hAnsi="Swis721 Cn BT"/>
        </w:rPr>
        <w:t>En este contexto, resulta fundamental contextualizar y desagregar las partidas de costos operacionales y gastos de administración, con el objetivo de demostrar que el deterioro del resultado no se origina en un desequilibrio estructural de la operación, sino en ajustes contables puntuales, como el aumento del gasto por depreciación producto de la retasación de activos y el reconocimiento extraordinario de provisiones por incobrabilidad.</w:t>
      </w:r>
    </w:p>
    <w:p w14:paraId="583EA91B" w14:textId="12FB2999" w:rsidR="00C0588E" w:rsidRPr="00C0588E" w:rsidRDefault="00C0588E" w:rsidP="00677AC0">
      <w:pPr>
        <w:spacing w:line="276" w:lineRule="auto"/>
        <w:jc w:val="both"/>
        <w:rPr>
          <w:rFonts w:ascii="Swis721 Cn BT" w:hAnsi="Swis721 Cn BT"/>
        </w:rPr>
      </w:pPr>
      <w:r w:rsidRPr="00C0588E">
        <w:rPr>
          <w:rFonts w:ascii="Swis721 Cn BT" w:hAnsi="Swis721 Cn BT"/>
        </w:rPr>
        <w:t>En lo que, respecto a los costos operacionales, se observa que el componente de depreciación aumentó su participación relativa, representando un 6,2% del total en el año 2024, en comparación con el 5,8% registrado en 2023</w:t>
      </w:r>
      <w:r>
        <w:rPr>
          <w:rFonts w:ascii="Swis721 Cn BT" w:hAnsi="Swis721 Cn BT"/>
        </w:rPr>
        <w:t>.</w:t>
      </w:r>
    </w:p>
    <w:p w14:paraId="077BE488" w14:textId="6419A070" w:rsidR="00C0588E" w:rsidRDefault="002D0FBB" w:rsidP="00677AC0">
      <w:pPr>
        <w:spacing w:line="276" w:lineRule="auto"/>
        <w:jc w:val="both"/>
        <w:rPr>
          <w:rFonts w:ascii="Swis721 Cn BT" w:hAnsi="Swis721 Cn BT"/>
        </w:rPr>
      </w:pPr>
      <w:r w:rsidRPr="002D0FBB">
        <w:rPr>
          <w:noProof/>
        </w:rPr>
        <w:lastRenderedPageBreak/>
        <w:drawing>
          <wp:inline distT="0" distB="0" distL="0" distR="0" wp14:anchorId="31EFE7F4" wp14:editId="4758259F">
            <wp:extent cx="5612130" cy="1431925"/>
            <wp:effectExtent l="0" t="0" r="7620" b="0"/>
            <wp:docPr id="10849675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431925"/>
                    </a:xfrm>
                    <a:prstGeom prst="rect">
                      <a:avLst/>
                    </a:prstGeom>
                    <a:noFill/>
                    <a:ln>
                      <a:noFill/>
                    </a:ln>
                  </pic:spPr>
                </pic:pic>
              </a:graphicData>
            </a:graphic>
          </wp:inline>
        </w:drawing>
      </w:r>
    </w:p>
    <w:p w14:paraId="2F4D0BBC" w14:textId="54C90ADB" w:rsidR="00C0588E" w:rsidRPr="00C0588E" w:rsidRDefault="00C0588E" w:rsidP="00677AC0">
      <w:pPr>
        <w:spacing w:line="276" w:lineRule="auto"/>
        <w:jc w:val="center"/>
        <w:rPr>
          <w:rFonts w:ascii="Swis721 Cn BT" w:hAnsi="Swis721 Cn BT"/>
          <w:i/>
          <w:iCs/>
        </w:rPr>
      </w:pPr>
      <w:r w:rsidRPr="00C0588E">
        <w:rPr>
          <w:rFonts w:ascii="Swis721 Cn BT" w:hAnsi="Swis721 Cn BT"/>
          <w:i/>
          <w:iCs/>
        </w:rPr>
        <w:t>Tabla 2: Apertura costos operacionales</w:t>
      </w:r>
    </w:p>
    <w:p w14:paraId="0061EF22" w14:textId="0C0BD8B2" w:rsidR="00C0588E" w:rsidRPr="00C0588E" w:rsidRDefault="00C0588E" w:rsidP="00677AC0">
      <w:pPr>
        <w:spacing w:line="276" w:lineRule="auto"/>
        <w:jc w:val="both"/>
        <w:rPr>
          <w:rFonts w:ascii="Swis721 Cn BT" w:hAnsi="Swis721 Cn BT"/>
        </w:rPr>
      </w:pPr>
      <w:r w:rsidRPr="00C0588E">
        <w:rPr>
          <w:rFonts w:ascii="Swis721 Cn BT" w:hAnsi="Swis721 Cn BT"/>
        </w:rPr>
        <w:t xml:space="preserve">Por otra parte, en los gastos de administración, </w:t>
      </w:r>
      <w:r>
        <w:rPr>
          <w:rFonts w:ascii="Swis721 Cn BT" w:hAnsi="Swis721 Cn BT"/>
        </w:rPr>
        <w:t xml:space="preserve">como </w:t>
      </w:r>
      <w:r w:rsidRPr="00C0588E">
        <w:rPr>
          <w:rFonts w:ascii="Swis721 Cn BT" w:hAnsi="Swis721 Cn BT"/>
        </w:rPr>
        <w:t xml:space="preserve">se evidencia </w:t>
      </w:r>
      <w:r>
        <w:rPr>
          <w:rFonts w:ascii="Swis721 Cn BT" w:hAnsi="Swis721 Cn BT"/>
        </w:rPr>
        <w:t xml:space="preserve">en la </w:t>
      </w:r>
      <w:r w:rsidRPr="00C0588E">
        <w:rPr>
          <w:rFonts w:ascii="Swis721 Cn BT" w:hAnsi="Swis721 Cn BT"/>
          <w:i/>
          <w:iCs/>
        </w:rPr>
        <w:t>tabla 3: Apertura gastos de administración</w:t>
      </w:r>
      <w:r>
        <w:rPr>
          <w:rFonts w:ascii="Swis721 Cn BT" w:hAnsi="Swis721 Cn BT"/>
          <w:i/>
          <w:iCs/>
        </w:rPr>
        <w:t>,</w:t>
      </w:r>
      <w:r>
        <w:rPr>
          <w:rFonts w:ascii="Swis721 Cn BT" w:hAnsi="Swis721 Cn BT"/>
        </w:rPr>
        <w:t xml:space="preserve"> </w:t>
      </w:r>
      <w:r w:rsidRPr="00C0588E">
        <w:rPr>
          <w:rFonts w:ascii="Swis721 Cn BT" w:hAnsi="Swis721 Cn BT"/>
        </w:rPr>
        <w:t>que la suma de la depreciación y las provisiones por incobrabilidad representan un 6,1% del total en el ejercicio 2024, muy por encima del 4,7% observado en 2023.</w:t>
      </w:r>
    </w:p>
    <w:p w14:paraId="01422F80" w14:textId="05734E99" w:rsidR="00C0588E" w:rsidRPr="00BF6E1C" w:rsidRDefault="00C0588E" w:rsidP="00677AC0">
      <w:pPr>
        <w:spacing w:line="276" w:lineRule="auto"/>
        <w:jc w:val="both"/>
        <w:rPr>
          <w:rFonts w:ascii="Swis721 Cn BT" w:hAnsi="Swis721 Cn BT"/>
        </w:rPr>
      </w:pPr>
      <w:r w:rsidRPr="00C0588E">
        <w:rPr>
          <w:noProof/>
        </w:rPr>
        <w:drawing>
          <wp:inline distT="0" distB="0" distL="0" distR="0" wp14:anchorId="6CB82024" wp14:editId="5106C5E3">
            <wp:extent cx="5612130" cy="2268220"/>
            <wp:effectExtent l="0" t="0" r="7620" b="0"/>
            <wp:docPr id="139900925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268220"/>
                    </a:xfrm>
                    <a:prstGeom prst="rect">
                      <a:avLst/>
                    </a:prstGeom>
                    <a:noFill/>
                    <a:ln>
                      <a:noFill/>
                    </a:ln>
                  </pic:spPr>
                </pic:pic>
              </a:graphicData>
            </a:graphic>
          </wp:inline>
        </w:drawing>
      </w:r>
    </w:p>
    <w:p w14:paraId="4D2245AE" w14:textId="34572467" w:rsidR="00150085" w:rsidRDefault="00C0588E" w:rsidP="00677AC0">
      <w:pPr>
        <w:spacing w:line="276" w:lineRule="auto"/>
        <w:jc w:val="center"/>
        <w:rPr>
          <w:rFonts w:ascii="Swis721 Cn BT" w:hAnsi="Swis721 Cn BT"/>
        </w:rPr>
      </w:pPr>
      <w:r>
        <w:rPr>
          <w:rFonts w:ascii="Swis721 Cn BT" w:hAnsi="Swis721 Cn BT"/>
        </w:rPr>
        <w:t>Tabla 3: Apertura gastos de administración</w:t>
      </w:r>
    </w:p>
    <w:p w14:paraId="3427ADA0" w14:textId="77777777" w:rsidR="0025656A" w:rsidRDefault="0025656A" w:rsidP="00677AC0">
      <w:pPr>
        <w:spacing w:line="276" w:lineRule="auto"/>
        <w:jc w:val="center"/>
        <w:rPr>
          <w:rFonts w:ascii="Swis721 Cn BT" w:hAnsi="Swis721 Cn BT"/>
        </w:rPr>
      </w:pPr>
    </w:p>
    <w:p w14:paraId="32DB852E" w14:textId="204240AE" w:rsidR="00150085" w:rsidRPr="00D06B2B" w:rsidRDefault="00B53904" w:rsidP="00677AC0">
      <w:pPr>
        <w:spacing w:line="276" w:lineRule="auto"/>
        <w:jc w:val="both"/>
        <w:rPr>
          <w:rFonts w:ascii="Swis721 Cn BT" w:hAnsi="Swis721 Cn BT"/>
          <w:b/>
          <w:bCs/>
        </w:rPr>
      </w:pPr>
      <w:r w:rsidRPr="00D06B2B">
        <w:rPr>
          <w:rFonts w:ascii="Swis721 Cn BT" w:hAnsi="Swis721 Cn BT"/>
          <w:b/>
          <w:bCs/>
        </w:rPr>
        <w:t>2. Análisis de las Principales Variaciones</w:t>
      </w:r>
    </w:p>
    <w:p w14:paraId="0EC1E209" w14:textId="77777777" w:rsidR="004B2F2E" w:rsidRPr="004B2F2E" w:rsidRDefault="00B53904" w:rsidP="00677AC0">
      <w:pPr>
        <w:pStyle w:val="Prrafodelista"/>
        <w:numPr>
          <w:ilvl w:val="0"/>
          <w:numId w:val="13"/>
        </w:numPr>
        <w:spacing w:line="276" w:lineRule="auto"/>
        <w:jc w:val="both"/>
        <w:rPr>
          <w:rFonts w:ascii="Swis721 Cn BT" w:hAnsi="Swis721 Cn BT"/>
          <w:b/>
          <w:bCs/>
        </w:rPr>
      </w:pPr>
      <w:r w:rsidRPr="004B2F2E">
        <w:rPr>
          <w:rFonts w:ascii="Times New Roman" w:eastAsia="Times New Roman" w:hAnsi="Times New Roman" w:cs="Times New Roman"/>
          <w:b/>
          <w:bCs/>
          <w:kern w:val="0"/>
          <w:sz w:val="24"/>
          <w:szCs w:val="24"/>
          <w:lang w:eastAsia="es-CL"/>
          <w14:ligatures w14:val="none"/>
        </w:rPr>
        <w:t>Retasación de Activos y su Impacto en la Depreciación</w:t>
      </w:r>
    </w:p>
    <w:p w14:paraId="5B57339F" w14:textId="77777777" w:rsidR="004B2F2E" w:rsidRDefault="004B2F2E" w:rsidP="00677AC0">
      <w:pPr>
        <w:pStyle w:val="Prrafodelista"/>
        <w:spacing w:line="276" w:lineRule="auto"/>
        <w:jc w:val="both"/>
        <w:rPr>
          <w:rFonts w:ascii="Times New Roman" w:eastAsia="Times New Roman" w:hAnsi="Times New Roman" w:cs="Times New Roman"/>
          <w:b/>
          <w:bCs/>
          <w:kern w:val="0"/>
          <w:sz w:val="24"/>
          <w:szCs w:val="24"/>
          <w:lang w:eastAsia="es-CL"/>
          <w14:ligatures w14:val="none"/>
        </w:rPr>
      </w:pPr>
    </w:p>
    <w:p w14:paraId="418F6BB3" w14:textId="7192132F" w:rsidR="004B2F2E" w:rsidRPr="00D06B2B" w:rsidRDefault="003F42EA" w:rsidP="00677AC0">
      <w:pPr>
        <w:pStyle w:val="Prrafodelista"/>
        <w:spacing w:line="276" w:lineRule="auto"/>
        <w:jc w:val="both"/>
        <w:rPr>
          <w:rFonts w:ascii="Swis721 Cn BT" w:hAnsi="Swis721 Cn BT"/>
        </w:rPr>
      </w:pPr>
      <w:r w:rsidRPr="00D06B2B">
        <w:rPr>
          <w:rFonts w:ascii="Swis721 Cn BT" w:hAnsi="Swis721 Cn BT"/>
        </w:rPr>
        <w:t xml:space="preserve">Como se presenta en la </w:t>
      </w:r>
      <w:r w:rsidRPr="00D06B2B">
        <w:rPr>
          <w:rFonts w:ascii="Swis721 Cn BT" w:hAnsi="Swis721 Cn BT"/>
          <w:i/>
          <w:iCs/>
        </w:rPr>
        <w:t xml:space="preserve">Tabla </w:t>
      </w:r>
      <w:r w:rsidR="00C0588E">
        <w:rPr>
          <w:rFonts w:ascii="Swis721 Cn BT" w:hAnsi="Swis721 Cn BT"/>
          <w:i/>
          <w:iCs/>
        </w:rPr>
        <w:t>4</w:t>
      </w:r>
      <w:r w:rsidRPr="00D06B2B">
        <w:rPr>
          <w:rFonts w:ascii="Swis721 Cn BT" w:hAnsi="Swis721 Cn BT"/>
          <w:i/>
          <w:iCs/>
        </w:rPr>
        <w:t>: Principales Vari</w:t>
      </w:r>
      <w:r w:rsidR="006E120C" w:rsidRPr="00D06B2B">
        <w:rPr>
          <w:rFonts w:ascii="Swis721 Cn BT" w:hAnsi="Swis721 Cn BT"/>
          <w:i/>
          <w:iCs/>
        </w:rPr>
        <w:t>a</w:t>
      </w:r>
      <w:r w:rsidRPr="00D06B2B">
        <w:rPr>
          <w:rFonts w:ascii="Swis721 Cn BT" w:hAnsi="Swis721 Cn BT"/>
          <w:i/>
          <w:iCs/>
        </w:rPr>
        <w:t>ciones</w:t>
      </w:r>
      <w:r w:rsidRPr="00D06B2B">
        <w:rPr>
          <w:rFonts w:ascii="Swis721 Cn BT" w:hAnsi="Swis721 Cn BT"/>
        </w:rPr>
        <w:t>, uno de los elementos más influyentes en la pérdida del periodo es el incremento del gasto por depreciación, que aumentó en M$781.562 respecto al año anterior.</w:t>
      </w:r>
    </w:p>
    <w:p w14:paraId="0A669018" w14:textId="77777777" w:rsidR="004B2F2E" w:rsidRDefault="004B2F2E" w:rsidP="00677AC0">
      <w:pPr>
        <w:pStyle w:val="Prrafodelista"/>
        <w:spacing w:line="276" w:lineRule="auto"/>
        <w:jc w:val="both"/>
        <w:rPr>
          <w:rFonts w:ascii="Swis721 Cn BT" w:hAnsi="Swis721 Cn BT"/>
        </w:rPr>
      </w:pPr>
    </w:p>
    <w:p w14:paraId="5451F0B0" w14:textId="31C03966" w:rsidR="008650EA" w:rsidRDefault="003F42EA" w:rsidP="008650EA">
      <w:pPr>
        <w:pStyle w:val="Prrafodelista"/>
        <w:spacing w:line="276" w:lineRule="auto"/>
        <w:jc w:val="both"/>
        <w:rPr>
          <w:rFonts w:ascii="Swis721 Cn BT" w:hAnsi="Swis721 Cn BT"/>
        </w:rPr>
      </w:pPr>
      <w:r w:rsidRPr="004B2F2E">
        <w:rPr>
          <w:rFonts w:ascii="Swis721 Cn BT" w:hAnsi="Swis721 Cn BT"/>
        </w:rPr>
        <w:t>Este aumento tiene su origen en la retasación de activos fijos realizada en el ejercicio 2023, cuyo efecto fue un incremento del patrimonio por M$68.072.</w:t>
      </w:r>
      <w:r w:rsidR="00B94617" w:rsidRPr="004B2F2E">
        <w:rPr>
          <w:rFonts w:ascii="Swis721 Cn BT" w:hAnsi="Swis721 Cn BT"/>
        </w:rPr>
        <w:t>737.</w:t>
      </w:r>
      <w:r w:rsidRPr="004B2F2E">
        <w:rPr>
          <w:rFonts w:ascii="Swis721 Cn BT" w:hAnsi="Swis721 Cn BT"/>
        </w:rPr>
        <w:t xml:space="preserve"> Este proceso se enmarca en una práctica contable avalada por las Normas Internacionales de Información Financiera (NIIF), cuyo objetivo es reflejar el valor justo de los activos en los estados financieros. Si bien este ajuste mejora la posición patrimonial, eleva simultáneamente el gasto contable por </w:t>
      </w:r>
      <w:r w:rsidR="001A126A" w:rsidRPr="004B2F2E">
        <w:rPr>
          <w:rFonts w:ascii="Swis721 Cn BT" w:hAnsi="Swis721 Cn BT"/>
        </w:rPr>
        <w:t>depreciación,</w:t>
      </w:r>
      <w:r w:rsidRPr="004B2F2E">
        <w:rPr>
          <w:rFonts w:ascii="Swis721 Cn BT" w:hAnsi="Swis721 Cn BT"/>
        </w:rPr>
        <w:t xml:space="preserve"> ya que el nuevo valor de los activos se amortiza en el tiempo.</w:t>
      </w:r>
    </w:p>
    <w:p w14:paraId="11457C5A" w14:textId="77777777" w:rsidR="008650EA" w:rsidRDefault="008650EA" w:rsidP="008650EA">
      <w:pPr>
        <w:pStyle w:val="Prrafodelista"/>
        <w:spacing w:line="276" w:lineRule="auto"/>
        <w:jc w:val="both"/>
        <w:rPr>
          <w:rFonts w:ascii="Swis721 Cn BT" w:hAnsi="Swis721 Cn BT"/>
        </w:rPr>
      </w:pPr>
    </w:p>
    <w:p w14:paraId="0267D3C3" w14:textId="668B83A0" w:rsidR="004B2F2E" w:rsidRPr="008650EA" w:rsidRDefault="003F42EA" w:rsidP="008650EA">
      <w:pPr>
        <w:pStyle w:val="Prrafodelista"/>
        <w:spacing w:line="276" w:lineRule="auto"/>
        <w:jc w:val="both"/>
        <w:rPr>
          <w:rFonts w:ascii="Swis721 Cn BT" w:hAnsi="Swis721 Cn BT"/>
        </w:rPr>
      </w:pPr>
      <w:r w:rsidRPr="008650EA">
        <w:rPr>
          <w:rFonts w:ascii="Swis721 Cn BT" w:hAnsi="Swis721 Cn BT"/>
          <w:b/>
          <w:bCs/>
        </w:rPr>
        <w:t>Análisis adicional:</w:t>
      </w:r>
    </w:p>
    <w:p w14:paraId="297C3E0B" w14:textId="77777777" w:rsidR="004B2F2E" w:rsidRDefault="004B2F2E" w:rsidP="00677AC0">
      <w:pPr>
        <w:pStyle w:val="Prrafodelista"/>
        <w:spacing w:line="276" w:lineRule="auto"/>
        <w:jc w:val="both"/>
        <w:rPr>
          <w:rFonts w:ascii="Swis721 Cn BT" w:hAnsi="Swis721 Cn BT"/>
        </w:rPr>
      </w:pPr>
    </w:p>
    <w:p w14:paraId="7E855DC2" w14:textId="77777777" w:rsidR="00F47478" w:rsidRDefault="003F42EA" w:rsidP="00677AC0">
      <w:pPr>
        <w:pStyle w:val="Prrafodelista"/>
        <w:numPr>
          <w:ilvl w:val="0"/>
          <w:numId w:val="14"/>
        </w:numPr>
        <w:spacing w:line="276" w:lineRule="auto"/>
        <w:jc w:val="both"/>
        <w:rPr>
          <w:rFonts w:ascii="Swis721 Cn BT" w:hAnsi="Swis721 Cn BT"/>
        </w:rPr>
      </w:pPr>
      <w:r w:rsidRPr="003F42EA">
        <w:rPr>
          <w:rFonts w:ascii="Swis721 Cn BT" w:hAnsi="Swis721 Cn BT"/>
        </w:rPr>
        <w:t xml:space="preserve">Este gasto adicional no es </w:t>
      </w:r>
      <w:r w:rsidR="006E120C" w:rsidRPr="006E120C">
        <w:rPr>
          <w:rFonts w:ascii="Swis721 Cn BT" w:hAnsi="Swis721 Cn BT"/>
        </w:rPr>
        <w:t>monetario,</w:t>
      </w:r>
      <w:r w:rsidRPr="003F42EA">
        <w:rPr>
          <w:rFonts w:ascii="Swis721 Cn BT" w:hAnsi="Swis721 Cn BT"/>
        </w:rPr>
        <w:t xml:space="preserve"> es decir, no implica salida de efectivo</w:t>
      </w:r>
      <w:r w:rsidR="004B2F2E">
        <w:rPr>
          <w:rFonts w:ascii="Swis721 Cn BT" w:hAnsi="Swis721 Cn BT"/>
        </w:rPr>
        <w:t>.</w:t>
      </w:r>
    </w:p>
    <w:p w14:paraId="71A8B5D4" w14:textId="5D6AE112" w:rsidR="004B2F2E" w:rsidRDefault="004B2F2E" w:rsidP="00677AC0">
      <w:pPr>
        <w:pStyle w:val="Prrafodelista"/>
        <w:spacing w:line="276" w:lineRule="auto"/>
        <w:ind w:left="1080"/>
        <w:jc w:val="both"/>
        <w:rPr>
          <w:rFonts w:ascii="Swis721 Cn BT" w:hAnsi="Swis721 Cn BT"/>
        </w:rPr>
      </w:pPr>
    </w:p>
    <w:p w14:paraId="0266B6C3" w14:textId="77777777" w:rsidR="00D06B2B" w:rsidRDefault="003F42EA" w:rsidP="00677AC0">
      <w:pPr>
        <w:pStyle w:val="Prrafodelista"/>
        <w:numPr>
          <w:ilvl w:val="0"/>
          <w:numId w:val="14"/>
        </w:numPr>
        <w:spacing w:line="276" w:lineRule="auto"/>
        <w:jc w:val="both"/>
        <w:rPr>
          <w:rFonts w:ascii="Swis721 Cn BT" w:hAnsi="Swis721 Cn BT"/>
        </w:rPr>
      </w:pPr>
      <w:r w:rsidRPr="004B2F2E">
        <w:rPr>
          <w:rFonts w:ascii="Swis721 Cn BT" w:hAnsi="Swis721 Cn BT"/>
        </w:rPr>
        <w:t xml:space="preserve">Refleja una mayor solidez </w:t>
      </w:r>
      <w:r w:rsidR="006E120C" w:rsidRPr="004B2F2E">
        <w:rPr>
          <w:rFonts w:ascii="Swis721 Cn BT" w:hAnsi="Swis721 Cn BT"/>
        </w:rPr>
        <w:t>patrimonial,</w:t>
      </w:r>
      <w:r w:rsidRPr="004B2F2E">
        <w:rPr>
          <w:rFonts w:ascii="Swis721 Cn BT" w:hAnsi="Swis721 Cn BT"/>
        </w:rPr>
        <w:t xml:space="preserve"> ya que los activos están contabilizados a valores más representativos del mercado.</w:t>
      </w:r>
    </w:p>
    <w:p w14:paraId="2BEA16F5" w14:textId="397E19D4" w:rsidR="004B2F2E" w:rsidRDefault="004B2F2E" w:rsidP="00677AC0">
      <w:pPr>
        <w:pStyle w:val="Prrafodelista"/>
        <w:spacing w:line="276" w:lineRule="auto"/>
        <w:ind w:left="1080"/>
        <w:jc w:val="both"/>
        <w:rPr>
          <w:rFonts w:ascii="Swis721 Cn BT" w:hAnsi="Swis721 Cn BT"/>
        </w:rPr>
      </w:pPr>
    </w:p>
    <w:p w14:paraId="339FDCA6" w14:textId="62FAF57A" w:rsidR="004B2F2E" w:rsidRDefault="003F42EA" w:rsidP="00677AC0">
      <w:pPr>
        <w:pStyle w:val="Prrafodelista"/>
        <w:numPr>
          <w:ilvl w:val="0"/>
          <w:numId w:val="14"/>
        </w:numPr>
        <w:spacing w:line="276" w:lineRule="auto"/>
        <w:jc w:val="both"/>
        <w:rPr>
          <w:rFonts w:ascii="Swis721 Cn BT" w:hAnsi="Swis721 Cn BT"/>
        </w:rPr>
      </w:pPr>
      <w:r w:rsidRPr="004B2F2E">
        <w:rPr>
          <w:rFonts w:ascii="Swis721 Cn BT" w:hAnsi="Swis721 Cn BT"/>
        </w:rPr>
        <w:t>La depreciación no afecta la productividad ni la funcionalidad de los bienes, por lo que su impacto es exclusivamente contable.</w:t>
      </w:r>
    </w:p>
    <w:p w14:paraId="7A8F33BC" w14:textId="3A1ADD12" w:rsidR="003F42EA" w:rsidRPr="004B2F2E" w:rsidRDefault="003F42EA" w:rsidP="00677AC0">
      <w:pPr>
        <w:spacing w:line="276" w:lineRule="auto"/>
        <w:ind w:left="720"/>
        <w:jc w:val="both"/>
        <w:rPr>
          <w:rFonts w:ascii="Swis721 Cn BT" w:hAnsi="Swis721 Cn BT"/>
        </w:rPr>
      </w:pPr>
      <w:r w:rsidRPr="004B2F2E">
        <w:rPr>
          <w:rFonts w:ascii="Swis721 Cn BT" w:hAnsi="Swis721 Cn BT"/>
        </w:rPr>
        <w:t>En resumen, este efecto contable contribuye significativamente al resultado negativo, pero no compromete ni la liquidez ni la operación de la institución.</w:t>
      </w:r>
    </w:p>
    <w:p w14:paraId="517EF0CA" w14:textId="77777777" w:rsidR="004B2F2E" w:rsidRDefault="006E120C" w:rsidP="00677AC0">
      <w:pPr>
        <w:pStyle w:val="Prrafodelista"/>
        <w:numPr>
          <w:ilvl w:val="0"/>
          <w:numId w:val="13"/>
        </w:numPr>
        <w:spacing w:line="276" w:lineRule="auto"/>
        <w:jc w:val="both"/>
        <w:rPr>
          <w:rFonts w:ascii="Times New Roman" w:eastAsia="Times New Roman" w:hAnsi="Times New Roman" w:cs="Times New Roman"/>
          <w:b/>
          <w:bCs/>
          <w:kern w:val="0"/>
          <w:sz w:val="24"/>
          <w:szCs w:val="24"/>
          <w:lang w:eastAsia="es-CL"/>
          <w14:ligatures w14:val="none"/>
        </w:rPr>
      </w:pPr>
      <w:r w:rsidRPr="004B2F2E">
        <w:rPr>
          <w:rFonts w:ascii="Times New Roman" w:eastAsia="Times New Roman" w:hAnsi="Times New Roman" w:cs="Times New Roman"/>
          <w:b/>
          <w:bCs/>
          <w:kern w:val="0"/>
          <w:sz w:val="24"/>
          <w:szCs w:val="24"/>
          <w:lang w:eastAsia="es-CL"/>
          <w14:ligatures w14:val="none"/>
        </w:rPr>
        <w:t>Aumento en el Gasto por Provisión de Incobrabilidad</w:t>
      </w:r>
    </w:p>
    <w:p w14:paraId="23BE34AF" w14:textId="77777777" w:rsidR="004B2F2E" w:rsidRDefault="004B2F2E" w:rsidP="00677AC0">
      <w:pPr>
        <w:pStyle w:val="Prrafodelista"/>
        <w:spacing w:line="276" w:lineRule="auto"/>
        <w:jc w:val="both"/>
        <w:rPr>
          <w:rFonts w:ascii="Times New Roman" w:eastAsia="Times New Roman" w:hAnsi="Times New Roman" w:cs="Times New Roman"/>
          <w:b/>
          <w:bCs/>
          <w:kern w:val="0"/>
          <w:sz w:val="24"/>
          <w:szCs w:val="24"/>
          <w:lang w:eastAsia="es-CL"/>
          <w14:ligatures w14:val="none"/>
        </w:rPr>
      </w:pPr>
    </w:p>
    <w:p w14:paraId="3EBA6D1B" w14:textId="09F8E598" w:rsidR="004B2F2E" w:rsidRDefault="006E120C" w:rsidP="00677AC0">
      <w:pPr>
        <w:pStyle w:val="Prrafodelista"/>
        <w:spacing w:line="276" w:lineRule="auto"/>
        <w:jc w:val="both"/>
        <w:rPr>
          <w:rFonts w:ascii="Swis721 Cn BT" w:hAnsi="Swis721 Cn BT"/>
          <w:i/>
          <w:iCs/>
        </w:rPr>
      </w:pPr>
      <w:r w:rsidRPr="004B2F2E">
        <w:rPr>
          <w:rFonts w:ascii="Times New Roman" w:eastAsia="Times New Roman" w:hAnsi="Times New Roman" w:cs="Times New Roman"/>
          <w:kern w:val="0"/>
          <w:sz w:val="24"/>
          <w:szCs w:val="24"/>
          <w:lang w:eastAsia="es-CL"/>
          <w14:ligatures w14:val="none"/>
        </w:rPr>
        <w:t>Durante el ejercicio 2024 se observa un aumento relevante en el gasto por provisión de incobrabilidad, con un impacto total de M$597.</w:t>
      </w:r>
      <w:r w:rsidR="00D06B2B" w:rsidRPr="004B2F2E">
        <w:rPr>
          <w:rFonts w:ascii="Times New Roman" w:eastAsia="Times New Roman" w:hAnsi="Times New Roman" w:cs="Times New Roman"/>
          <w:kern w:val="0"/>
          <w:sz w:val="24"/>
          <w:szCs w:val="24"/>
          <w:lang w:eastAsia="es-CL"/>
          <w14:ligatures w14:val="none"/>
        </w:rPr>
        <w:t>148,</w:t>
      </w:r>
      <w:r w:rsidRPr="004B2F2E">
        <w:rPr>
          <w:rFonts w:ascii="Times New Roman" w:eastAsia="Times New Roman" w:hAnsi="Times New Roman" w:cs="Times New Roman"/>
          <w:kern w:val="0"/>
          <w:sz w:val="24"/>
          <w:szCs w:val="24"/>
          <w:lang w:eastAsia="es-CL"/>
          <w14:ligatures w14:val="none"/>
        </w:rPr>
        <w:t xml:space="preserve"> de acuerdo con lo reportado en la </w:t>
      </w:r>
      <w:r w:rsidRPr="004B2F2E">
        <w:rPr>
          <w:rFonts w:ascii="Swis721 Cn BT" w:hAnsi="Swis721 Cn BT"/>
          <w:i/>
          <w:iCs/>
        </w:rPr>
        <w:t xml:space="preserve">Tabla </w:t>
      </w:r>
      <w:r w:rsidR="00C0588E">
        <w:rPr>
          <w:rFonts w:ascii="Swis721 Cn BT" w:hAnsi="Swis721 Cn BT"/>
          <w:i/>
          <w:iCs/>
        </w:rPr>
        <w:t>4</w:t>
      </w:r>
      <w:r w:rsidRPr="004B2F2E">
        <w:rPr>
          <w:rFonts w:ascii="Swis721 Cn BT" w:hAnsi="Swis721 Cn BT"/>
          <w:i/>
          <w:iCs/>
        </w:rPr>
        <w:t>: Principales Variaciones.</w:t>
      </w:r>
    </w:p>
    <w:p w14:paraId="262B4E7B" w14:textId="77777777" w:rsidR="004B2F2E" w:rsidRDefault="004B2F2E" w:rsidP="00677AC0">
      <w:pPr>
        <w:pStyle w:val="Prrafodelista"/>
        <w:spacing w:line="276" w:lineRule="auto"/>
        <w:jc w:val="both"/>
        <w:rPr>
          <w:rFonts w:ascii="Swis721 Cn BT" w:hAnsi="Swis721 Cn BT"/>
          <w:i/>
          <w:iCs/>
        </w:rPr>
      </w:pPr>
    </w:p>
    <w:p w14:paraId="2721AB95" w14:textId="661CF817" w:rsidR="004B2F2E" w:rsidRDefault="006E120C" w:rsidP="00677AC0">
      <w:pPr>
        <w:pStyle w:val="Prrafodelista"/>
        <w:spacing w:line="276" w:lineRule="auto"/>
        <w:jc w:val="both"/>
        <w:rPr>
          <w:rFonts w:ascii="Times New Roman" w:eastAsia="Times New Roman" w:hAnsi="Times New Roman" w:cs="Times New Roman"/>
          <w:kern w:val="0"/>
          <w:sz w:val="24"/>
          <w:szCs w:val="24"/>
          <w:lang w:eastAsia="es-CL"/>
          <w14:ligatures w14:val="none"/>
        </w:rPr>
      </w:pPr>
      <w:r w:rsidRPr="006E120C">
        <w:rPr>
          <w:rFonts w:ascii="Times New Roman" w:eastAsia="Times New Roman" w:hAnsi="Times New Roman" w:cs="Times New Roman"/>
          <w:kern w:val="0"/>
          <w:sz w:val="24"/>
          <w:szCs w:val="24"/>
          <w:lang w:eastAsia="es-CL"/>
          <w14:ligatures w14:val="none"/>
        </w:rPr>
        <w:t xml:space="preserve">Este incremento responde a una revisión y actualización de las políticas de provisión aplicadas a las cuentas por cobrar vencidas, en línea con criterios contables de prudencia y consistencia financiera. Si bien la provisión aplicada abarca distintos componentes de la cartera de cuentas por </w:t>
      </w:r>
      <w:r w:rsidR="00D06B2B" w:rsidRPr="006E120C">
        <w:rPr>
          <w:rFonts w:ascii="Times New Roman" w:eastAsia="Times New Roman" w:hAnsi="Times New Roman" w:cs="Times New Roman"/>
          <w:kern w:val="0"/>
          <w:sz w:val="24"/>
          <w:szCs w:val="24"/>
          <w:lang w:eastAsia="es-CL"/>
          <w14:ligatures w14:val="none"/>
        </w:rPr>
        <w:t>cobrar,</w:t>
      </w:r>
      <w:r w:rsidRPr="006E120C">
        <w:rPr>
          <w:rFonts w:ascii="Times New Roman" w:eastAsia="Times New Roman" w:hAnsi="Times New Roman" w:cs="Times New Roman"/>
          <w:kern w:val="0"/>
          <w:sz w:val="24"/>
          <w:szCs w:val="24"/>
          <w:lang w:eastAsia="es-CL"/>
          <w14:ligatures w14:val="none"/>
        </w:rPr>
        <w:t xml:space="preserve"> la principal razón del aumento se relaciona con la decisión de reconocer pérdidas esperadas asociadas a segmentos con mayores niveles de morosidad histórica, dentro de los cuales destaca la cartera de posgrado.</w:t>
      </w:r>
    </w:p>
    <w:p w14:paraId="4121DF36" w14:textId="77777777" w:rsidR="0025656A" w:rsidRDefault="0025656A" w:rsidP="00677AC0">
      <w:pPr>
        <w:pStyle w:val="Prrafodelista"/>
        <w:spacing w:line="276" w:lineRule="auto"/>
        <w:jc w:val="both"/>
        <w:rPr>
          <w:rFonts w:ascii="Times New Roman" w:eastAsia="Times New Roman" w:hAnsi="Times New Roman" w:cs="Times New Roman"/>
          <w:kern w:val="0"/>
          <w:sz w:val="24"/>
          <w:szCs w:val="24"/>
          <w:lang w:eastAsia="es-CL"/>
          <w14:ligatures w14:val="none"/>
        </w:rPr>
      </w:pPr>
    </w:p>
    <w:p w14:paraId="3C1A4DA8" w14:textId="51C04267" w:rsidR="006E120C" w:rsidRPr="0025656A" w:rsidRDefault="006E120C" w:rsidP="00677AC0">
      <w:pPr>
        <w:pStyle w:val="Prrafodelista"/>
        <w:spacing w:line="276" w:lineRule="auto"/>
        <w:jc w:val="both"/>
        <w:rPr>
          <w:rFonts w:ascii="Times New Roman" w:eastAsia="Times New Roman" w:hAnsi="Times New Roman" w:cs="Times New Roman"/>
          <w:b/>
          <w:bCs/>
          <w:kern w:val="0"/>
          <w:sz w:val="24"/>
          <w:szCs w:val="24"/>
          <w:lang w:eastAsia="es-CL"/>
          <w14:ligatures w14:val="none"/>
        </w:rPr>
      </w:pPr>
      <w:r w:rsidRPr="0025656A">
        <w:rPr>
          <w:rFonts w:ascii="Times New Roman" w:eastAsia="Times New Roman" w:hAnsi="Times New Roman" w:cs="Times New Roman"/>
          <w:b/>
          <w:bCs/>
          <w:kern w:val="0"/>
          <w:sz w:val="24"/>
          <w:szCs w:val="24"/>
          <w:lang w:eastAsia="es-CL"/>
          <w14:ligatures w14:val="none"/>
        </w:rPr>
        <w:t>Análisis adicional:</w:t>
      </w:r>
    </w:p>
    <w:p w14:paraId="0EC38525" w14:textId="77777777" w:rsidR="00D06B2B" w:rsidRPr="006E120C" w:rsidRDefault="00D06B2B" w:rsidP="00677AC0">
      <w:pPr>
        <w:pStyle w:val="Prrafodelista"/>
        <w:spacing w:line="276" w:lineRule="auto"/>
        <w:jc w:val="both"/>
        <w:rPr>
          <w:rFonts w:ascii="Times New Roman" w:eastAsia="Times New Roman" w:hAnsi="Times New Roman" w:cs="Times New Roman"/>
          <w:b/>
          <w:bCs/>
          <w:kern w:val="0"/>
          <w:sz w:val="24"/>
          <w:szCs w:val="24"/>
          <w:lang w:eastAsia="es-CL"/>
          <w14:ligatures w14:val="none"/>
        </w:rPr>
      </w:pPr>
    </w:p>
    <w:p w14:paraId="7BB10640" w14:textId="77777777" w:rsidR="004B2F2E" w:rsidRDefault="006E120C" w:rsidP="00677AC0">
      <w:pPr>
        <w:pStyle w:val="Prrafodelista"/>
        <w:numPr>
          <w:ilvl w:val="0"/>
          <w:numId w:val="14"/>
        </w:numPr>
        <w:spacing w:line="276" w:lineRule="auto"/>
        <w:jc w:val="both"/>
        <w:rPr>
          <w:rFonts w:ascii="Times New Roman" w:eastAsia="Times New Roman" w:hAnsi="Times New Roman" w:cs="Times New Roman"/>
          <w:kern w:val="0"/>
          <w:sz w:val="24"/>
          <w:szCs w:val="24"/>
          <w:lang w:eastAsia="es-CL"/>
          <w14:ligatures w14:val="none"/>
        </w:rPr>
      </w:pPr>
      <w:r w:rsidRPr="004B2F2E">
        <w:rPr>
          <w:rFonts w:ascii="Times New Roman" w:eastAsia="Times New Roman" w:hAnsi="Times New Roman" w:cs="Times New Roman"/>
          <w:kern w:val="0"/>
          <w:sz w:val="24"/>
          <w:szCs w:val="24"/>
          <w:lang w:eastAsia="es-CL"/>
          <w14:ligatures w14:val="none"/>
        </w:rPr>
        <w:t>Este gasto representa un ajuste contable destinado a reflejar de manera realista el riesgo de incobrabilidad de ciertas cuentas, sin implicar una pérdida efectiva de caja en el período.</w:t>
      </w:r>
    </w:p>
    <w:p w14:paraId="1838D8C5" w14:textId="77777777" w:rsidR="00B94617" w:rsidRDefault="00B94617" w:rsidP="00677AC0">
      <w:pPr>
        <w:pStyle w:val="Prrafodelista"/>
        <w:spacing w:line="276" w:lineRule="auto"/>
        <w:ind w:left="1080"/>
        <w:jc w:val="both"/>
        <w:rPr>
          <w:rFonts w:ascii="Times New Roman" w:eastAsia="Times New Roman" w:hAnsi="Times New Roman" w:cs="Times New Roman"/>
          <w:kern w:val="0"/>
          <w:sz w:val="24"/>
          <w:szCs w:val="24"/>
          <w:lang w:eastAsia="es-CL"/>
          <w14:ligatures w14:val="none"/>
        </w:rPr>
      </w:pPr>
    </w:p>
    <w:p w14:paraId="61E0A592" w14:textId="1FA46F4A" w:rsidR="00B94617" w:rsidRDefault="006E120C" w:rsidP="00677AC0">
      <w:pPr>
        <w:pStyle w:val="Prrafodelista"/>
        <w:numPr>
          <w:ilvl w:val="0"/>
          <w:numId w:val="14"/>
        </w:numPr>
        <w:spacing w:line="276" w:lineRule="auto"/>
        <w:jc w:val="both"/>
        <w:rPr>
          <w:rFonts w:ascii="Times New Roman" w:eastAsia="Times New Roman" w:hAnsi="Times New Roman" w:cs="Times New Roman"/>
          <w:kern w:val="0"/>
          <w:sz w:val="24"/>
          <w:szCs w:val="24"/>
          <w:lang w:eastAsia="es-CL"/>
          <w14:ligatures w14:val="none"/>
        </w:rPr>
      </w:pPr>
      <w:r w:rsidRPr="004B2F2E">
        <w:rPr>
          <w:rFonts w:ascii="Times New Roman" w:eastAsia="Times New Roman" w:hAnsi="Times New Roman" w:cs="Times New Roman"/>
          <w:kern w:val="0"/>
          <w:sz w:val="24"/>
          <w:szCs w:val="24"/>
          <w:lang w:eastAsia="es-CL"/>
          <w14:ligatures w14:val="none"/>
        </w:rPr>
        <w:t>La medida refuerza la transparencia y robustez de los estados financieros, alineándose con principios contables generalmente aceptados y estándares de auditoría.</w:t>
      </w:r>
    </w:p>
    <w:p w14:paraId="0A2DBF92" w14:textId="77777777" w:rsidR="00B94617" w:rsidRPr="00B94617" w:rsidRDefault="00B94617" w:rsidP="00677AC0">
      <w:pPr>
        <w:pStyle w:val="Prrafodelista"/>
        <w:spacing w:line="276" w:lineRule="auto"/>
        <w:ind w:left="1080"/>
        <w:jc w:val="both"/>
        <w:rPr>
          <w:rFonts w:ascii="Times New Roman" w:eastAsia="Times New Roman" w:hAnsi="Times New Roman" w:cs="Times New Roman"/>
          <w:kern w:val="0"/>
          <w:sz w:val="24"/>
          <w:szCs w:val="24"/>
          <w:lang w:eastAsia="es-CL"/>
          <w14:ligatures w14:val="none"/>
        </w:rPr>
      </w:pPr>
    </w:p>
    <w:p w14:paraId="10FC49F1" w14:textId="68485720" w:rsidR="004B2F2E" w:rsidRDefault="006E120C" w:rsidP="00677AC0">
      <w:pPr>
        <w:pStyle w:val="Prrafodelista"/>
        <w:numPr>
          <w:ilvl w:val="0"/>
          <w:numId w:val="14"/>
        </w:numPr>
        <w:spacing w:line="276" w:lineRule="auto"/>
        <w:jc w:val="both"/>
        <w:rPr>
          <w:rFonts w:ascii="Times New Roman" w:eastAsia="Times New Roman" w:hAnsi="Times New Roman" w:cs="Times New Roman"/>
          <w:kern w:val="0"/>
          <w:sz w:val="24"/>
          <w:szCs w:val="24"/>
          <w:lang w:eastAsia="es-CL"/>
          <w14:ligatures w14:val="none"/>
        </w:rPr>
      </w:pPr>
      <w:r w:rsidRPr="004B2F2E">
        <w:rPr>
          <w:rFonts w:ascii="Times New Roman" w:eastAsia="Times New Roman" w:hAnsi="Times New Roman" w:cs="Times New Roman"/>
          <w:kern w:val="0"/>
          <w:sz w:val="24"/>
          <w:szCs w:val="24"/>
          <w:lang w:eastAsia="es-CL"/>
          <w14:ligatures w14:val="none"/>
        </w:rPr>
        <w:t xml:space="preserve">Es una acción puntual, no recurrente, por lo que no deberá replicarse con la misma magnitud en ejercicios </w:t>
      </w:r>
      <w:r w:rsidR="00D06B2B" w:rsidRPr="004B2F2E">
        <w:rPr>
          <w:rFonts w:ascii="Times New Roman" w:eastAsia="Times New Roman" w:hAnsi="Times New Roman" w:cs="Times New Roman"/>
          <w:kern w:val="0"/>
          <w:sz w:val="24"/>
          <w:szCs w:val="24"/>
          <w:lang w:eastAsia="es-CL"/>
          <w14:ligatures w14:val="none"/>
        </w:rPr>
        <w:t>futuros,</w:t>
      </w:r>
      <w:r w:rsidRPr="004B2F2E">
        <w:rPr>
          <w:rFonts w:ascii="Times New Roman" w:eastAsia="Times New Roman" w:hAnsi="Times New Roman" w:cs="Times New Roman"/>
          <w:kern w:val="0"/>
          <w:sz w:val="24"/>
          <w:szCs w:val="24"/>
          <w:lang w:eastAsia="es-CL"/>
          <w14:ligatures w14:val="none"/>
        </w:rPr>
        <w:t xml:space="preserve"> especialmente si se mantiene un seguimiento activo sobre la cartera.</w:t>
      </w:r>
    </w:p>
    <w:p w14:paraId="31FD268A" w14:textId="77777777" w:rsidR="00D06B2B" w:rsidRDefault="00B53904" w:rsidP="00677AC0">
      <w:pPr>
        <w:spacing w:line="276" w:lineRule="auto"/>
        <w:ind w:left="720"/>
        <w:jc w:val="both"/>
        <w:rPr>
          <w:rFonts w:ascii="Times New Roman" w:eastAsia="Times New Roman" w:hAnsi="Times New Roman" w:cs="Times New Roman"/>
          <w:kern w:val="0"/>
          <w:sz w:val="24"/>
          <w:szCs w:val="24"/>
          <w:lang w:eastAsia="es-CL"/>
          <w14:ligatures w14:val="none"/>
        </w:rPr>
      </w:pPr>
      <w:r w:rsidRPr="004B2F2E">
        <w:rPr>
          <w:rFonts w:ascii="Times New Roman" w:eastAsia="Times New Roman" w:hAnsi="Times New Roman" w:cs="Times New Roman"/>
          <w:kern w:val="0"/>
          <w:sz w:val="24"/>
          <w:szCs w:val="24"/>
          <w:lang w:eastAsia="es-CL"/>
          <w14:ligatures w14:val="none"/>
        </w:rPr>
        <w:t>Este reconocimiento responde a criterios de prudencia y depuración de cuentas por cobrar de difícil recuperación. Al tratarse de deudas históricas y con baja probabilidad de cobro, su efecto en el resultado de 2024 es contable y no tiene relación con la gestión académica ni comercial del año en curso.</w:t>
      </w:r>
    </w:p>
    <w:p w14:paraId="11ED1EED" w14:textId="77777777" w:rsidR="00D06B2B" w:rsidRDefault="00D06B2B" w:rsidP="00677AC0">
      <w:pPr>
        <w:spacing w:line="276" w:lineRule="auto"/>
        <w:ind w:left="720"/>
        <w:jc w:val="both"/>
        <w:rPr>
          <w:rFonts w:ascii="Times New Roman" w:eastAsia="Times New Roman" w:hAnsi="Times New Roman" w:cs="Times New Roman"/>
          <w:kern w:val="0"/>
          <w:sz w:val="24"/>
          <w:szCs w:val="24"/>
          <w:lang w:eastAsia="es-CL"/>
          <w14:ligatures w14:val="none"/>
        </w:rPr>
      </w:pPr>
    </w:p>
    <w:p w14:paraId="2A41968A" w14:textId="0C428B9C" w:rsidR="00B53904" w:rsidRDefault="002D0FBB" w:rsidP="00677AC0">
      <w:pPr>
        <w:spacing w:line="276" w:lineRule="auto"/>
        <w:ind w:left="720"/>
        <w:jc w:val="center"/>
        <w:rPr>
          <w:rFonts w:ascii="Swis721 Cn BT" w:hAnsi="Swis721 Cn BT"/>
          <w:lang w:val="es-ES"/>
        </w:rPr>
      </w:pPr>
      <w:r w:rsidRPr="002D0FBB">
        <w:rPr>
          <w:noProof/>
        </w:rPr>
        <w:drawing>
          <wp:inline distT="0" distB="0" distL="0" distR="0" wp14:anchorId="14EB10C4" wp14:editId="3E85EE1F">
            <wp:extent cx="5089585" cy="458973"/>
            <wp:effectExtent l="0" t="0" r="0" b="0"/>
            <wp:docPr id="3363806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1210" cy="460923"/>
                    </a:xfrm>
                    <a:prstGeom prst="rect">
                      <a:avLst/>
                    </a:prstGeom>
                    <a:noFill/>
                    <a:ln>
                      <a:noFill/>
                    </a:ln>
                  </pic:spPr>
                </pic:pic>
              </a:graphicData>
            </a:graphic>
          </wp:inline>
        </w:drawing>
      </w:r>
      <w:r w:rsidR="00B53904" w:rsidRPr="002A72B3">
        <w:rPr>
          <w:rFonts w:ascii="Swis721 Cn BT" w:hAnsi="Swis721 Cn BT"/>
          <w:i/>
          <w:iCs/>
          <w:lang w:val="es-ES"/>
        </w:rPr>
        <w:t xml:space="preserve">Tabla </w:t>
      </w:r>
      <w:r w:rsidR="00C0588E">
        <w:rPr>
          <w:rFonts w:ascii="Swis721 Cn BT" w:hAnsi="Swis721 Cn BT"/>
          <w:i/>
          <w:iCs/>
          <w:lang w:val="es-ES"/>
        </w:rPr>
        <w:t>4</w:t>
      </w:r>
      <w:r w:rsidR="00B53904" w:rsidRPr="002A72B3">
        <w:rPr>
          <w:rFonts w:ascii="Swis721 Cn BT" w:hAnsi="Swis721 Cn BT"/>
          <w:i/>
          <w:iCs/>
          <w:lang w:val="es-ES"/>
        </w:rPr>
        <w:t>: Principales Variaciones</w:t>
      </w:r>
    </w:p>
    <w:p w14:paraId="554F6601" w14:textId="77777777" w:rsidR="006E120C" w:rsidRDefault="006E120C" w:rsidP="00677AC0">
      <w:pPr>
        <w:spacing w:line="276" w:lineRule="auto"/>
        <w:jc w:val="both"/>
        <w:rPr>
          <w:rFonts w:ascii="Swis721 Cn BT" w:hAnsi="Swis721 Cn BT"/>
          <w:lang w:val="es-ES"/>
        </w:rPr>
      </w:pPr>
    </w:p>
    <w:p w14:paraId="22D6F978" w14:textId="77777777" w:rsidR="008650EA" w:rsidRDefault="008650EA" w:rsidP="00677AC0">
      <w:pPr>
        <w:spacing w:line="276" w:lineRule="auto"/>
        <w:jc w:val="both"/>
        <w:rPr>
          <w:rFonts w:ascii="Swis721 Cn BT" w:hAnsi="Swis721 Cn BT"/>
          <w:lang w:val="es-ES"/>
        </w:rPr>
      </w:pPr>
    </w:p>
    <w:p w14:paraId="34F58677" w14:textId="77777777" w:rsidR="004B2F2E" w:rsidRDefault="006E120C" w:rsidP="00677AC0">
      <w:pPr>
        <w:pStyle w:val="Prrafodelista"/>
        <w:numPr>
          <w:ilvl w:val="0"/>
          <w:numId w:val="13"/>
        </w:numPr>
        <w:spacing w:line="276" w:lineRule="auto"/>
        <w:jc w:val="both"/>
        <w:rPr>
          <w:rFonts w:ascii="Swis721 Cn BT" w:hAnsi="Swis721 Cn BT"/>
          <w:b/>
          <w:bCs/>
        </w:rPr>
      </w:pPr>
      <w:r w:rsidRPr="004B2F2E">
        <w:rPr>
          <w:rFonts w:ascii="Swis721 Cn BT" w:hAnsi="Swis721 Cn BT"/>
          <w:b/>
          <w:bCs/>
        </w:rPr>
        <w:t>Disminución en Otros Ingresos – Caída en Donaciones y Aportes Específicos</w:t>
      </w:r>
    </w:p>
    <w:p w14:paraId="551176A7" w14:textId="77777777" w:rsidR="004B2F2E" w:rsidRDefault="004B2F2E" w:rsidP="00677AC0">
      <w:pPr>
        <w:pStyle w:val="Prrafodelista"/>
        <w:spacing w:line="276" w:lineRule="auto"/>
        <w:jc w:val="both"/>
        <w:rPr>
          <w:rFonts w:ascii="Swis721 Cn BT" w:hAnsi="Swis721 Cn BT"/>
          <w:b/>
          <w:bCs/>
        </w:rPr>
      </w:pPr>
    </w:p>
    <w:p w14:paraId="31535179" w14:textId="109CC833" w:rsidR="00D06B2B" w:rsidRDefault="004B2F2E" w:rsidP="00677AC0">
      <w:pPr>
        <w:pStyle w:val="Prrafodelista"/>
        <w:spacing w:line="276" w:lineRule="auto"/>
        <w:jc w:val="both"/>
        <w:rPr>
          <w:rFonts w:ascii="Swis721 Cn BT" w:hAnsi="Swis721 Cn BT"/>
        </w:rPr>
      </w:pPr>
      <w:r w:rsidRPr="004B2F2E">
        <w:rPr>
          <w:rFonts w:ascii="Swis721 Cn BT" w:hAnsi="Swis721 Cn BT"/>
        </w:rPr>
        <w:t xml:space="preserve">Uno de los elementos también significativos en la explicación de la pérdida neta del ejercicio 2024 es la disminución en el ítem "Otros Ingresos”, los cuales se redujeron de M$1.205.019 en 2023 a M$725.217 en </w:t>
      </w:r>
      <w:r w:rsidR="00D06B2B" w:rsidRPr="004B2F2E">
        <w:rPr>
          <w:rFonts w:ascii="Swis721 Cn BT" w:hAnsi="Swis721 Cn BT"/>
        </w:rPr>
        <w:t>2024,</w:t>
      </w:r>
      <w:r w:rsidRPr="004B2F2E">
        <w:rPr>
          <w:rFonts w:ascii="Swis721 Cn BT" w:hAnsi="Swis721 Cn BT"/>
        </w:rPr>
        <w:t xml:space="preserve"> lo que representa una contracción del 40% respecto al periodo </w:t>
      </w:r>
      <w:r w:rsidR="00D06B2B" w:rsidRPr="004B2F2E">
        <w:rPr>
          <w:rFonts w:ascii="Swis721 Cn BT" w:hAnsi="Swis721 Cn BT"/>
        </w:rPr>
        <w:t>anterior,</w:t>
      </w:r>
      <w:r w:rsidRPr="004B2F2E">
        <w:rPr>
          <w:rFonts w:ascii="Swis721 Cn BT" w:hAnsi="Swis721 Cn BT"/>
        </w:rPr>
        <w:t xml:space="preserve"> según lo evidenciado en la </w:t>
      </w:r>
      <w:r w:rsidRPr="004B2F2E">
        <w:rPr>
          <w:rFonts w:ascii="Swis721 Cn BT" w:hAnsi="Swis721 Cn BT"/>
          <w:i/>
          <w:iCs/>
        </w:rPr>
        <w:t xml:space="preserve">Tabla 1: Estado de </w:t>
      </w:r>
      <w:r w:rsidR="002A72B3" w:rsidRPr="004B2F2E">
        <w:rPr>
          <w:rFonts w:ascii="Swis721 Cn BT" w:hAnsi="Swis721 Cn BT"/>
          <w:i/>
          <w:iCs/>
        </w:rPr>
        <w:t>Resultados</w:t>
      </w:r>
      <w:r w:rsidR="002A72B3" w:rsidRPr="004B2F2E">
        <w:rPr>
          <w:rFonts w:ascii="Swis721 Cn BT" w:hAnsi="Swis721 Cn BT"/>
        </w:rPr>
        <w:t>.</w:t>
      </w:r>
    </w:p>
    <w:p w14:paraId="371A977F" w14:textId="77777777" w:rsidR="00D06B2B" w:rsidRDefault="00D06B2B" w:rsidP="00677AC0">
      <w:pPr>
        <w:pStyle w:val="Prrafodelista"/>
        <w:spacing w:line="276" w:lineRule="auto"/>
        <w:jc w:val="both"/>
        <w:rPr>
          <w:rFonts w:ascii="Swis721 Cn BT" w:hAnsi="Swis721 Cn BT"/>
        </w:rPr>
      </w:pPr>
    </w:p>
    <w:p w14:paraId="69167E20" w14:textId="63632744" w:rsidR="00D06B2B" w:rsidRDefault="004B2F2E" w:rsidP="00677AC0">
      <w:pPr>
        <w:pStyle w:val="Prrafodelista"/>
        <w:spacing w:line="276" w:lineRule="auto"/>
        <w:jc w:val="both"/>
        <w:rPr>
          <w:rFonts w:ascii="Swis721 Cn BT" w:hAnsi="Swis721 Cn BT"/>
        </w:rPr>
      </w:pPr>
      <w:r w:rsidRPr="004B2F2E">
        <w:rPr>
          <w:rFonts w:ascii="Swis721 Cn BT" w:hAnsi="Swis721 Cn BT"/>
        </w:rPr>
        <w:t xml:space="preserve">Esta disminución tiene un impacto directo en el resultado del ejercicio, ya que </w:t>
      </w:r>
      <w:r w:rsidR="00D73C0A">
        <w:rPr>
          <w:rFonts w:ascii="Swis721 Cn BT" w:hAnsi="Swis721 Cn BT"/>
        </w:rPr>
        <w:t>l</w:t>
      </w:r>
      <w:r w:rsidRPr="004B2F2E">
        <w:rPr>
          <w:rFonts w:ascii="Swis721 Cn BT" w:hAnsi="Swis721 Cn BT"/>
        </w:rPr>
        <w:t>a fuerte caída en esta línea contribuyó de forma estructural a la pérdida del año.</w:t>
      </w:r>
    </w:p>
    <w:p w14:paraId="353F4633" w14:textId="77777777" w:rsidR="00677AC0" w:rsidRDefault="00677AC0" w:rsidP="00677AC0">
      <w:pPr>
        <w:pStyle w:val="Prrafodelista"/>
        <w:spacing w:line="276" w:lineRule="auto"/>
        <w:jc w:val="both"/>
        <w:rPr>
          <w:rFonts w:ascii="Swis721 Cn BT" w:hAnsi="Swis721 Cn BT"/>
        </w:rPr>
      </w:pPr>
    </w:p>
    <w:p w14:paraId="290C4881" w14:textId="77777777" w:rsidR="00D06B2B" w:rsidRDefault="004B2F2E" w:rsidP="00677AC0">
      <w:pPr>
        <w:pStyle w:val="Prrafodelista"/>
        <w:spacing w:line="276" w:lineRule="auto"/>
        <w:jc w:val="both"/>
        <w:rPr>
          <w:rFonts w:ascii="Swis721 Cn BT" w:hAnsi="Swis721 Cn BT"/>
          <w:b/>
          <w:bCs/>
        </w:rPr>
      </w:pPr>
      <w:r w:rsidRPr="004B2F2E">
        <w:rPr>
          <w:rFonts w:ascii="Swis721 Cn BT" w:hAnsi="Swis721 Cn BT"/>
          <w:b/>
          <w:bCs/>
        </w:rPr>
        <w:t>Análisis adicional:</w:t>
      </w:r>
    </w:p>
    <w:p w14:paraId="3FBB5199" w14:textId="77777777" w:rsidR="00D06B2B" w:rsidRDefault="00D06B2B" w:rsidP="00677AC0">
      <w:pPr>
        <w:pStyle w:val="Prrafodelista"/>
        <w:spacing w:line="276" w:lineRule="auto"/>
        <w:jc w:val="both"/>
        <w:rPr>
          <w:rFonts w:ascii="Swis721 Cn BT" w:hAnsi="Swis721 Cn BT"/>
          <w:b/>
          <w:bCs/>
        </w:rPr>
      </w:pPr>
    </w:p>
    <w:p w14:paraId="0C43A6A0" w14:textId="574651C2" w:rsidR="00D06B2B" w:rsidRDefault="00D06B2B" w:rsidP="00677AC0">
      <w:pPr>
        <w:pStyle w:val="Prrafodelista"/>
        <w:spacing w:line="276" w:lineRule="auto"/>
        <w:jc w:val="both"/>
        <w:rPr>
          <w:rFonts w:ascii="Swis721 Cn BT" w:hAnsi="Swis721 Cn BT"/>
        </w:rPr>
      </w:pPr>
      <w:r w:rsidRPr="00D06B2B">
        <w:rPr>
          <w:rFonts w:ascii="Swis721 Cn BT" w:hAnsi="Swis721 Cn BT"/>
        </w:rPr>
        <w:t>Si bien su baja presiona el equilibrio entre ingresos y gastos, es importante remarcar que no se vincula a deficiencias operativas ni a pérdidas de matrícula o actividad académica.</w:t>
      </w:r>
    </w:p>
    <w:p w14:paraId="784C7E87" w14:textId="77777777" w:rsidR="002A72B3" w:rsidRPr="00D06B2B" w:rsidRDefault="002A72B3" w:rsidP="00677AC0">
      <w:pPr>
        <w:pStyle w:val="Prrafodelista"/>
        <w:spacing w:line="276" w:lineRule="auto"/>
        <w:jc w:val="both"/>
        <w:rPr>
          <w:rFonts w:ascii="Swis721 Cn BT" w:hAnsi="Swis721 Cn BT"/>
          <w:b/>
          <w:bCs/>
        </w:rPr>
      </w:pPr>
    </w:p>
    <w:p w14:paraId="39044C1A" w14:textId="6C7919E2" w:rsidR="00D06B2B" w:rsidRDefault="004B2F2E" w:rsidP="00677AC0">
      <w:pPr>
        <w:pStyle w:val="Prrafodelista"/>
        <w:numPr>
          <w:ilvl w:val="0"/>
          <w:numId w:val="14"/>
        </w:numPr>
        <w:spacing w:line="276" w:lineRule="auto"/>
        <w:jc w:val="both"/>
        <w:rPr>
          <w:rFonts w:ascii="Swis721 Cn BT" w:hAnsi="Swis721 Cn BT"/>
        </w:rPr>
      </w:pPr>
      <w:r w:rsidRPr="00D06B2B">
        <w:rPr>
          <w:rFonts w:ascii="Swis721 Cn BT" w:hAnsi="Swis721 Cn BT"/>
        </w:rPr>
        <w:t xml:space="preserve">El componente más afectado dentro de "Otros Ingresos" fue el de donaciones en </w:t>
      </w:r>
      <w:r w:rsidR="00D06B2B" w:rsidRPr="00D06B2B">
        <w:rPr>
          <w:rFonts w:ascii="Swis721 Cn BT" w:hAnsi="Swis721 Cn BT"/>
        </w:rPr>
        <w:t>bienes,</w:t>
      </w:r>
      <w:r w:rsidRPr="00D06B2B">
        <w:rPr>
          <w:rFonts w:ascii="Swis721 Cn BT" w:hAnsi="Swis721 Cn BT"/>
        </w:rPr>
        <w:t xml:space="preserve"> el cual experimentó una reducción del 58%</w:t>
      </w:r>
      <w:r w:rsidR="00D06B2B" w:rsidRPr="00D06B2B">
        <w:rPr>
          <w:rFonts w:ascii="Swis721 Cn BT" w:hAnsi="Swis721 Cn BT"/>
        </w:rPr>
        <w:t xml:space="preserve"> como se muestra en la </w:t>
      </w:r>
      <w:r w:rsidR="00D06B2B" w:rsidRPr="00D06B2B">
        <w:rPr>
          <w:rFonts w:ascii="Swis721 Cn BT" w:hAnsi="Swis721 Cn BT"/>
          <w:i/>
          <w:iCs/>
        </w:rPr>
        <w:t>Tabla</w:t>
      </w:r>
      <w:r w:rsidR="00C0588E">
        <w:rPr>
          <w:rFonts w:ascii="Swis721 Cn BT" w:hAnsi="Swis721 Cn BT"/>
          <w:i/>
          <w:iCs/>
        </w:rPr>
        <w:t>5</w:t>
      </w:r>
      <w:r w:rsidR="00D06B2B" w:rsidRPr="00D06B2B">
        <w:rPr>
          <w:rFonts w:ascii="Swis721 Cn BT" w:hAnsi="Swis721 Cn BT"/>
          <w:i/>
          <w:iCs/>
        </w:rPr>
        <w:t>: Apertura donaciones</w:t>
      </w:r>
      <w:r w:rsidRPr="00D06B2B">
        <w:rPr>
          <w:rFonts w:ascii="Swis721 Cn BT" w:hAnsi="Swis721 Cn BT"/>
        </w:rPr>
        <w:t xml:space="preserve"> respecto al ejercicio anterior. Esta caída tiene un doble impacto: por un lado, limita los recursos extraordinarios; por otro, afecta el saldo financiero entre ingresos y gastos.</w:t>
      </w:r>
    </w:p>
    <w:p w14:paraId="0E0353BA" w14:textId="77777777" w:rsidR="00D06B2B" w:rsidRDefault="00D06B2B" w:rsidP="00677AC0">
      <w:pPr>
        <w:pStyle w:val="Prrafodelista"/>
        <w:spacing w:line="276" w:lineRule="auto"/>
        <w:ind w:left="1080"/>
        <w:jc w:val="both"/>
        <w:rPr>
          <w:rFonts w:ascii="Swis721 Cn BT" w:hAnsi="Swis721 Cn BT"/>
        </w:rPr>
      </w:pPr>
    </w:p>
    <w:p w14:paraId="660F6EB6" w14:textId="56040B94" w:rsidR="00D06B2B" w:rsidRPr="00D06B2B" w:rsidRDefault="00D06B2B" w:rsidP="00677AC0">
      <w:pPr>
        <w:pStyle w:val="Prrafodelista"/>
        <w:numPr>
          <w:ilvl w:val="0"/>
          <w:numId w:val="14"/>
        </w:numPr>
        <w:spacing w:line="276" w:lineRule="auto"/>
        <w:jc w:val="both"/>
        <w:rPr>
          <w:rFonts w:ascii="Swis721 Cn BT" w:hAnsi="Swis721 Cn BT"/>
        </w:rPr>
      </w:pPr>
      <w:r w:rsidRPr="00D06B2B">
        <w:rPr>
          <w:rFonts w:ascii="Swis721 Cn BT" w:hAnsi="Swis721 Cn BT"/>
        </w:rPr>
        <w:t>Este tipo de ingresos suele tener una alta volatilidad, ya que depende de factores externos, como políticas públicas, fondos concursables o relaciones institucionales.</w:t>
      </w:r>
    </w:p>
    <w:p w14:paraId="63EF868E" w14:textId="77777777" w:rsidR="00D06B2B" w:rsidRPr="00D06B2B" w:rsidRDefault="00D06B2B" w:rsidP="00677AC0">
      <w:pPr>
        <w:pStyle w:val="Prrafodelista"/>
        <w:spacing w:line="276" w:lineRule="auto"/>
        <w:jc w:val="both"/>
        <w:rPr>
          <w:rFonts w:ascii="Swis721 Cn BT" w:hAnsi="Swis721 Cn BT"/>
        </w:rPr>
      </w:pPr>
    </w:p>
    <w:p w14:paraId="62B09686" w14:textId="78E6FEA9" w:rsidR="00D06B2B" w:rsidRPr="00D06B2B" w:rsidRDefault="00D06B2B" w:rsidP="00677AC0">
      <w:pPr>
        <w:pStyle w:val="Prrafodelista"/>
        <w:numPr>
          <w:ilvl w:val="0"/>
          <w:numId w:val="14"/>
        </w:numPr>
        <w:spacing w:line="276" w:lineRule="auto"/>
        <w:jc w:val="both"/>
        <w:rPr>
          <w:rFonts w:ascii="Swis721 Cn BT" w:hAnsi="Swis721 Cn BT"/>
        </w:rPr>
      </w:pPr>
      <w:r w:rsidRPr="00D06B2B">
        <w:rPr>
          <w:rFonts w:ascii="Swis721 Cn BT" w:hAnsi="Swis721 Cn BT"/>
        </w:rPr>
        <w:t>La dependencia de estos ingresos no operacionales requiere una estrategia de diversificación y gestión anticipada de riesgos financieros externos.</w:t>
      </w:r>
    </w:p>
    <w:p w14:paraId="79F0139D" w14:textId="77777777" w:rsidR="00D06B2B" w:rsidRPr="00D06B2B" w:rsidRDefault="00D06B2B" w:rsidP="00677AC0">
      <w:pPr>
        <w:pStyle w:val="Prrafodelista"/>
        <w:spacing w:line="276" w:lineRule="auto"/>
        <w:jc w:val="both"/>
        <w:rPr>
          <w:rFonts w:ascii="Swis721 Cn BT" w:hAnsi="Swis721 Cn BT"/>
        </w:rPr>
      </w:pPr>
    </w:p>
    <w:p w14:paraId="786CC442" w14:textId="77777777" w:rsidR="00D06B2B" w:rsidRDefault="00D06B2B" w:rsidP="00677AC0">
      <w:pPr>
        <w:pStyle w:val="Prrafodelista"/>
        <w:numPr>
          <w:ilvl w:val="0"/>
          <w:numId w:val="14"/>
        </w:numPr>
        <w:spacing w:line="276" w:lineRule="auto"/>
        <w:jc w:val="both"/>
        <w:rPr>
          <w:rFonts w:ascii="Swis721 Cn BT" w:hAnsi="Swis721 Cn BT"/>
        </w:rPr>
      </w:pPr>
      <w:r w:rsidRPr="00D06B2B">
        <w:rPr>
          <w:rFonts w:ascii="Swis721 Cn BT" w:hAnsi="Swis721 Cn BT"/>
        </w:rPr>
        <w:t>No forma parte del ingreso operativo recurrente de la institución, por lo que su disminución no refleja una caída en la gestión ni en la calidad de los servicios ofrecidos.</w:t>
      </w:r>
    </w:p>
    <w:p w14:paraId="7FB2006C" w14:textId="77777777" w:rsidR="00D06B2B" w:rsidRPr="00D06B2B" w:rsidRDefault="00D06B2B" w:rsidP="00677AC0">
      <w:pPr>
        <w:pStyle w:val="Prrafodelista"/>
        <w:spacing w:line="276" w:lineRule="auto"/>
        <w:rPr>
          <w:rFonts w:ascii="Swis721 Cn BT" w:hAnsi="Swis721 Cn BT"/>
        </w:rPr>
      </w:pPr>
    </w:p>
    <w:p w14:paraId="39254DE5" w14:textId="68DF305A" w:rsidR="00D06B2B" w:rsidRDefault="004B2F2E" w:rsidP="00677AC0">
      <w:pPr>
        <w:pStyle w:val="Prrafodelista"/>
        <w:spacing w:line="276" w:lineRule="auto"/>
        <w:jc w:val="both"/>
        <w:rPr>
          <w:rFonts w:ascii="Swis721 Cn BT" w:hAnsi="Swis721 Cn BT"/>
        </w:rPr>
      </w:pPr>
      <w:r w:rsidRPr="00D06B2B">
        <w:rPr>
          <w:rFonts w:ascii="Swis721 Cn BT" w:hAnsi="Swis721 Cn BT"/>
        </w:rPr>
        <w:t xml:space="preserve">Este fenómeno pone de relieve la necesidad de evaluar y diversificar las fuentes de financiamiento </w:t>
      </w:r>
      <w:r w:rsidR="00D06B2B" w:rsidRPr="00D06B2B">
        <w:rPr>
          <w:rFonts w:ascii="Swis721 Cn BT" w:hAnsi="Swis721 Cn BT"/>
        </w:rPr>
        <w:t>complementario,</w:t>
      </w:r>
      <w:r w:rsidRPr="00D06B2B">
        <w:rPr>
          <w:rFonts w:ascii="Swis721 Cn BT" w:hAnsi="Swis721 Cn BT"/>
        </w:rPr>
        <w:t xml:space="preserve"> especialmente aquellas que dependen de factores externos como donaciones, fondos concursables, convenios o transferencias específicas, que pueden verse afectadas por condiciones del entorno económico o institucional.</w:t>
      </w:r>
    </w:p>
    <w:p w14:paraId="533A00AB" w14:textId="77777777" w:rsidR="00D06B2B" w:rsidRDefault="00D06B2B" w:rsidP="00677AC0">
      <w:pPr>
        <w:pStyle w:val="Prrafodelista"/>
        <w:spacing w:line="276" w:lineRule="auto"/>
        <w:jc w:val="both"/>
        <w:rPr>
          <w:rFonts w:ascii="Swis721 Cn BT" w:hAnsi="Swis721 Cn BT"/>
        </w:rPr>
      </w:pPr>
    </w:p>
    <w:p w14:paraId="5A5510E6" w14:textId="77777777" w:rsidR="00D06B2B" w:rsidRDefault="00D06B2B" w:rsidP="00677AC0">
      <w:pPr>
        <w:pStyle w:val="Prrafodelista"/>
        <w:spacing w:line="276" w:lineRule="auto"/>
        <w:jc w:val="both"/>
        <w:rPr>
          <w:rFonts w:ascii="Swis721 Cn BT" w:hAnsi="Swis721 Cn BT"/>
        </w:rPr>
      </w:pPr>
    </w:p>
    <w:p w14:paraId="1332B52E" w14:textId="77777777" w:rsidR="00D06B2B" w:rsidRDefault="00D22E21" w:rsidP="00677AC0">
      <w:pPr>
        <w:pStyle w:val="Prrafodelista"/>
        <w:spacing w:line="276" w:lineRule="auto"/>
        <w:jc w:val="center"/>
        <w:rPr>
          <w:rFonts w:ascii="Swis721 Cn BT" w:hAnsi="Swis721 Cn BT"/>
          <w:lang w:val="es-ES"/>
        </w:rPr>
      </w:pPr>
      <w:r w:rsidRPr="00D22E21">
        <w:rPr>
          <w:noProof/>
        </w:rPr>
        <w:drawing>
          <wp:inline distT="0" distB="0" distL="0" distR="0" wp14:anchorId="510868B5" wp14:editId="4110FBEE">
            <wp:extent cx="4489450" cy="1073150"/>
            <wp:effectExtent l="0" t="0" r="6350" b="0"/>
            <wp:docPr id="195085620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9450" cy="1073150"/>
                    </a:xfrm>
                    <a:prstGeom prst="rect">
                      <a:avLst/>
                    </a:prstGeom>
                    <a:noFill/>
                    <a:ln>
                      <a:noFill/>
                    </a:ln>
                  </pic:spPr>
                </pic:pic>
              </a:graphicData>
            </a:graphic>
          </wp:inline>
        </w:drawing>
      </w:r>
    </w:p>
    <w:p w14:paraId="26D953A2" w14:textId="3C60EC28" w:rsidR="00D06B2B" w:rsidRPr="00D06B2B" w:rsidRDefault="008B06D7" w:rsidP="00677AC0">
      <w:pPr>
        <w:pStyle w:val="Prrafodelista"/>
        <w:spacing w:line="276" w:lineRule="auto"/>
        <w:jc w:val="center"/>
        <w:rPr>
          <w:rFonts w:ascii="Swis721 Cn BT" w:hAnsi="Swis721 Cn BT"/>
          <w:i/>
          <w:iCs/>
          <w:lang w:val="es-ES"/>
        </w:rPr>
      </w:pPr>
      <w:r w:rsidRPr="00D06B2B">
        <w:rPr>
          <w:rFonts w:ascii="Swis721 Cn BT" w:hAnsi="Swis721 Cn BT"/>
          <w:i/>
          <w:iCs/>
          <w:lang w:val="es-ES"/>
        </w:rPr>
        <w:t>Tabla</w:t>
      </w:r>
      <w:r w:rsidR="00C0588E">
        <w:rPr>
          <w:rFonts w:ascii="Swis721 Cn BT" w:hAnsi="Swis721 Cn BT"/>
          <w:i/>
          <w:iCs/>
          <w:lang w:val="es-ES"/>
        </w:rPr>
        <w:t xml:space="preserve"> 5</w:t>
      </w:r>
      <w:r w:rsidRPr="00D06B2B">
        <w:rPr>
          <w:rFonts w:ascii="Swis721 Cn BT" w:hAnsi="Swis721 Cn BT"/>
          <w:i/>
          <w:iCs/>
          <w:lang w:val="es-ES"/>
        </w:rPr>
        <w:t>: Apertura donaciones</w:t>
      </w:r>
    </w:p>
    <w:p w14:paraId="67A652EF" w14:textId="77777777" w:rsidR="00D06B2B" w:rsidRDefault="00D06B2B" w:rsidP="00677AC0">
      <w:pPr>
        <w:pStyle w:val="Prrafodelista"/>
        <w:spacing w:line="276" w:lineRule="auto"/>
        <w:jc w:val="center"/>
        <w:rPr>
          <w:rFonts w:ascii="Swis721 Cn BT" w:hAnsi="Swis721 Cn BT"/>
          <w:lang w:val="es-ES"/>
        </w:rPr>
      </w:pPr>
    </w:p>
    <w:p w14:paraId="0B61E91C" w14:textId="77777777" w:rsidR="00D06B2B" w:rsidRPr="00D06B2B" w:rsidRDefault="004B2F2E" w:rsidP="00677AC0">
      <w:pPr>
        <w:pStyle w:val="Prrafodelista"/>
        <w:numPr>
          <w:ilvl w:val="0"/>
          <w:numId w:val="13"/>
        </w:numPr>
        <w:spacing w:line="276" w:lineRule="auto"/>
        <w:jc w:val="both"/>
        <w:rPr>
          <w:rFonts w:ascii="Swis721 Cn BT" w:hAnsi="Swis721 Cn BT"/>
          <w:lang w:val="es-ES"/>
        </w:rPr>
      </w:pPr>
      <w:r w:rsidRPr="00D06B2B">
        <w:rPr>
          <w:rFonts w:ascii="Swis721 Cn BT" w:hAnsi="Swis721 Cn BT"/>
          <w:b/>
          <w:bCs/>
        </w:rPr>
        <w:t>Síntesis de Factores que Explican la Pérdida del Ejercicio 2024</w:t>
      </w:r>
    </w:p>
    <w:p w14:paraId="0398E38E" w14:textId="77777777" w:rsidR="00D06B2B" w:rsidRDefault="00D06B2B" w:rsidP="00677AC0">
      <w:pPr>
        <w:pStyle w:val="Prrafodelista"/>
        <w:spacing w:line="276" w:lineRule="auto"/>
        <w:jc w:val="both"/>
        <w:rPr>
          <w:rFonts w:ascii="Swis721 Cn BT" w:hAnsi="Swis721 Cn BT"/>
          <w:b/>
          <w:bCs/>
          <w:lang w:val="es-ES"/>
        </w:rPr>
      </w:pPr>
    </w:p>
    <w:p w14:paraId="1535ECE4" w14:textId="12119705" w:rsidR="00D06B2B" w:rsidRDefault="004B2F2E" w:rsidP="00677AC0">
      <w:pPr>
        <w:pStyle w:val="Prrafodelista"/>
        <w:spacing w:line="276" w:lineRule="auto"/>
        <w:jc w:val="both"/>
        <w:rPr>
          <w:rFonts w:ascii="Swis721 Cn BT" w:hAnsi="Swis721 Cn BT"/>
        </w:rPr>
      </w:pPr>
      <w:r w:rsidRPr="00D06B2B">
        <w:rPr>
          <w:rFonts w:ascii="Swis721 Cn BT" w:hAnsi="Swis721 Cn BT"/>
        </w:rPr>
        <w:t xml:space="preserve">Para clarificar el origen de la pérdida neta del ejercicio, se presenta a continuación una tabla resumen con los tres principales factores no operativos que explican el deterioro del resultado, junto a su impacto monetario y relativo sobre el total de la </w:t>
      </w:r>
      <w:r w:rsidR="00D06B2B" w:rsidRPr="00D06B2B">
        <w:rPr>
          <w:rFonts w:ascii="Swis721 Cn BT" w:hAnsi="Swis721 Cn BT"/>
        </w:rPr>
        <w:t>pérdida:</w:t>
      </w:r>
      <w:r w:rsidR="00D06B2B">
        <w:rPr>
          <w:rFonts w:ascii="Swis721 Cn BT" w:hAnsi="Swis721 Cn BT"/>
        </w:rPr>
        <w:br/>
      </w:r>
    </w:p>
    <w:p w14:paraId="49A4D668" w14:textId="6FA222BF" w:rsidR="00D06B2B" w:rsidRDefault="002D0FBB" w:rsidP="00677AC0">
      <w:pPr>
        <w:pStyle w:val="Prrafodelista"/>
        <w:spacing w:line="276" w:lineRule="auto"/>
        <w:jc w:val="both"/>
        <w:rPr>
          <w:rFonts w:ascii="Swis721 Cn BT" w:hAnsi="Swis721 Cn BT"/>
        </w:rPr>
      </w:pPr>
      <w:r w:rsidRPr="002D0FBB">
        <w:rPr>
          <w:noProof/>
        </w:rPr>
        <w:lastRenderedPageBreak/>
        <w:drawing>
          <wp:inline distT="0" distB="0" distL="0" distR="0" wp14:anchorId="4F15C708" wp14:editId="01C72053">
            <wp:extent cx="5149970" cy="1078592"/>
            <wp:effectExtent l="0" t="0" r="0" b="7620"/>
            <wp:docPr id="47678735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6947" cy="1084242"/>
                    </a:xfrm>
                    <a:prstGeom prst="rect">
                      <a:avLst/>
                    </a:prstGeom>
                    <a:noFill/>
                    <a:ln>
                      <a:noFill/>
                    </a:ln>
                  </pic:spPr>
                </pic:pic>
              </a:graphicData>
            </a:graphic>
          </wp:inline>
        </w:drawing>
      </w:r>
    </w:p>
    <w:p w14:paraId="5DB8A346" w14:textId="77777777" w:rsidR="00D06B2B" w:rsidRDefault="00D06B2B" w:rsidP="00677AC0">
      <w:pPr>
        <w:pStyle w:val="Prrafodelista"/>
        <w:spacing w:line="276" w:lineRule="auto"/>
        <w:jc w:val="both"/>
        <w:rPr>
          <w:rFonts w:ascii="Swis721 Cn BT" w:hAnsi="Swis721 Cn BT"/>
        </w:rPr>
      </w:pPr>
    </w:p>
    <w:p w14:paraId="744517E3" w14:textId="65CB30ED" w:rsidR="004B2F2E" w:rsidRPr="00D06B2B" w:rsidRDefault="004B2F2E" w:rsidP="00677AC0">
      <w:pPr>
        <w:pStyle w:val="Prrafodelista"/>
        <w:spacing w:line="276" w:lineRule="auto"/>
        <w:jc w:val="both"/>
        <w:rPr>
          <w:rFonts w:ascii="Swis721 Cn BT" w:hAnsi="Swis721 Cn BT"/>
        </w:rPr>
      </w:pPr>
      <w:r w:rsidRPr="00D06B2B">
        <w:rPr>
          <w:rFonts w:ascii="Swis721 Cn BT" w:hAnsi="Swis721 Cn BT"/>
        </w:rPr>
        <w:t xml:space="preserve">La tabla anterior deja en evidencia que más del 90% de la pérdida del ejercicio se explica por factores extraordinarios, contables y no recurrentes, siendo la disminución en otros ingresos una causa estructural de peso equivalente a las otras </w:t>
      </w:r>
      <w:r w:rsidR="00D06B2B" w:rsidRPr="00D06B2B">
        <w:rPr>
          <w:rFonts w:ascii="Swis721 Cn BT" w:hAnsi="Swis721 Cn BT"/>
        </w:rPr>
        <w:t>dos.</w:t>
      </w:r>
      <w:r w:rsidRPr="00D06B2B">
        <w:rPr>
          <w:rFonts w:ascii="Swis721 Cn BT" w:hAnsi="Swis721 Cn BT"/>
        </w:rPr>
        <w:t xml:space="preserve"> Esto refuerza el argumento de que el resultado contable negativo no obedece a un problema de gestión ni a un déficit operativo, sino a decisiones y eventos específicos que deben interpretarse en su justa dimensión.</w:t>
      </w:r>
    </w:p>
    <w:p w14:paraId="5163A743" w14:textId="1F907D3A" w:rsidR="004B2F2E" w:rsidRDefault="004B2F2E" w:rsidP="00677AC0">
      <w:pPr>
        <w:spacing w:line="276" w:lineRule="auto"/>
        <w:jc w:val="both"/>
        <w:rPr>
          <w:rFonts w:ascii="Swis721 Cn BT" w:hAnsi="Swis721 Cn BT"/>
          <w:lang w:val="es-ES"/>
        </w:rPr>
      </w:pPr>
    </w:p>
    <w:p w14:paraId="22E4D70F" w14:textId="657B48AC" w:rsidR="008B06D7" w:rsidRPr="00D06B2B" w:rsidRDefault="001A126A" w:rsidP="00677AC0">
      <w:pPr>
        <w:spacing w:line="276" w:lineRule="auto"/>
        <w:jc w:val="both"/>
        <w:rPr>
          <w:rFonts w:ascii="Swis721 Cn BT" w:hAnsi="Swis721 Cn BT"/>
          <w:b/>
          <w:bCs/>
          <w:lang w:val="es-ES"/>
        </w:rPr>
      </w:pPr>
      <w:r w:rsidRPr="00677A08">
        <w:rPr>
          <w:rFonts w:ascii="Swis721 Cn BT" w:hAnsi="Swis721 Cn BT"/>
          <w:b/>
          <w:bCs/>
        </w:rPr>
        <w:t>3. Evaluación de Indicadores Operativos y Financiero</w:t>
      </w:r>
    </w:p>
    <w:p w14:paraId="6AEF18BC" w14:textId="33738175" w:rsidR="001A126A" w:rsidRDefault="001A126A" w:rsidP="00677AC0">
      <w:pPr>
        <w:spacing w:line="276" w:lineRule="auto"/>
        <w:jc w:val="both"/>
        <w:rPr>
          <w:rFonts w:ascii="Swis721 Cn BT" w:hAnsi="Swis721 Cn BT"/>
        </w:rPr>
      </w:pPr>
      <w:r w:rsidRPr="001A126A">
        <w:rPr>
          <w:rFonts w:ascii="Swis721 Cn BT" w:hAnsi="Swis721 Cn BT"/>
        </w:rPr>
        <w:t xml:space="preserve">A pesar del resultado contable negativo registrado en el ejercicio, los indicadores operativos y financieros fundamentales muestran una estabilidad que respalda la continuidad operativa y la eficiencia institucional. Como se presenta en la </w:t>
      </w:r>
      <w:r w:rsidRPr="001A126A">
        <w:rPr>
          <w:rFonts w:ascii="Swis721 Cn BT" w:hAnsi="Swis721 Cn BT"/>
          <w:i/>
          <w:iCs/>
        </w:rPr>
        <w:t xml:space="preserve">Tabla </w:t>
      </w:r>
      <w:r w:rsidR="00C0588E">
        <w:rPr>
          <w:rFonts w:ascii="Swis721 Cn BT" w:hAnsi="Swis721 Cn BT"/>
          <w:i/>
          <w:iCs/>
        </w:rPr>
        <w:t>6</w:t>
      </w:r>
      <w:r w:rsidRPr="001A126A">
        <w:rPr>
          <w:rFonts w:ascii="Swis721 Cn BT" w:hAnsi="Swis721 Cn BT"/>
          <w:i/>
          <w:iCs/>
        </w:rPr>
        <w:t xml:space="preserve">: Indicadores </w:t>
      </w:r>
      <w:r w:rsidR="00D06B2B" w:rsidRPr="001A126A">
        <w:rPr>
          <w:rFonts w:ascii="Swis721 Cn BT" w:hAnsi="Swis721 Cn BT"/>
          <w:i/>
          <w:iCs/>
        </w:rPr>
        <w:t>Financieros</w:t>
      </w:r>
      <w:r w:rsidR="00D06B2B" w:rsidRPr="001A126A">
        <w:rPr>
          <w:rFonts w:ascii="Swis721 Cn BT" w:hAnsi="Swis721 Cn BT"/>
        </w:rPr>
        <w:t>,</w:t>
      </w:r>
      <w:r w:rsidRPr="001A126A">
        <w:rPr>
          <w:rFonts w:ascii="Swis721 Cn BT" w:hAnsi="Swis721 Cn BT"/>
        </w:rPr>
        <w:t xml:space="preserve"> los principales indicadores reflejan que el deterioro en el resultado neto se debe, en su mayoría, a ajustes contables extraordinarios y no a deficiencias en la gestión o caída en la actividad operativa.</w:t>
      </w:r>
    </w:p>
    <w:p w14:paraId="6D6ADCD1" w14:textId="77777777" w:rsidR="001A126A" w:rsidRDefault="001A126A" w:rsidP="00677AC0">
      <w:pPr>
        <w:pStyle w:val="Prrafodelista"/>
        <w:numPr>
          <w:ilvl w:val="0"/>
          <w:numId w:val="8"/>
        </w:numPr>
        <w:spacing w:line="276" w:lineRule="auto"/>
        <w:jc w:val="both"/>
        <w:rPr>
          <w:rFonts w:ascii="Swis721 Cn BT" w:hAnsi="Swis721 Cn BT"/>
          <w:b/>
          <w:bCs/>
        </w:rPr>
      </w:pPr>
      <w:r w:rsidRPr="001A126A">
        <w:rPr>
          <w:rFonts w:ascii="Swis721 Cn BT" w:hAnsi="Swis721 Cn BT"/>
          <w:b/>
          <w:bCs/>
        </w:rPr>
        <w:t>EBITDA Estable: Sostenibilidad Operacional Garantizada</w:t>
      </w:r>
    </w:p>
    <w:p w14:paraId="7D1DC704" w14:textId="77777777" w:rsidR="001A126A" w:rsidRDefault="001A126A" w:rsidP="00677AC0">
      <w:pPr>
        <w:pStyle w:val="Prrafodelista"/>
        <w:spacing w:line="276" w:lineRule="auto"/>
        <w:jc w:val="both"/>
        <w:rPr>
          <w:rFonts w:ascii="Swis721 Cn BT" w:hAnsi="Swis721 Cn BT"/>
          <w:b/>
          <w:bCs/>
        </w:rPr>
      </w:pPr>
    </w:p>
    <w:p w14:paraId="6EB0791F" w14:textId="2DC53525" w:rsidR="001A126A" w:rsidRPr="00D06B2B" w:rsidRDefault="001A126A" w:rsidP="00677AC0">
      <w:pPr>
        <w:pStyle w:val="Prrafodelista"/>
        <w:spacing w:line="276" w:lineRule="auto"/>
        <w:jc w:val="both"/>
        <w:rPr>
          <w:rFonts w:ascii="Swis721 Cn BT" w:hAnsi="Swis721 Cn BT"/>
        </w:rPr>
      </w:pPr>
      <w:r w:rsidRPr="00D06B2B">
        <w:rPr>
          <w:rFonts w:ascii="Swis721 Cn BT" w:hAnsi="Swis721 Cn BT"/>
        </w:rPr>
        <w:t>El EBITDA (Ganancias antes de impuestos, depreciación y amortización</w:t>
      </w:r>
      <w:r w:rsidR="002A72B3" w:rsidRPr="00D06B2B">
        <w:rPr>
          <w:rFonts w:ascii="Swis721 Cn BT" w:hAnsi="Swis721 Cn BT"/>
        </w:rPr>
        <w:t>),</w:t>
      </w:r>
      <w:r w:rsidRPr="00D06B2B">
        <w:rPr>
          <w:rFonts w:ascii="Swis721 Cn BT" w:hAnsi="Swis721 Cn BT"/>
        </w:rPr>
        <w:t xml:space="preserve"> que representa el resultado operacional antes de gastos financieros y ajustes contables como la depreciación y provisiones, no muestra un deterioro significativo respecto al ejercicio </w:t>
      </w:r>
      <w:r w:rsidR="00D06B2B" w:rsidRPr="00D06B2B">
        <w:rPr>
          <w:rFonts w:ascii="Swis721 Cn BT" w:hAnsi="Swis721 Cn BT"/>
        </w:rPr>
        <w:t>anterior.</w:t>
      </w:r>
      <w:r w:rsidRPr="00D06B2B">
        <w:rPr>
          <w:rFonts w:ascii="Swis721 Cn BT" w:hAnsi="Swis721 Cn BT"/>
        </w:rPr>
        <w:t xml:space="preserve"> Esto evidencia que la capacidad de generación de ingresos operativos sigue intacta.</w:t>
      </w:r>
      <w:r w:rsidR="00677A08">
        <w:rPr>
          <w:rFonts w:ascii="Swis721 Cn BT" w:hAnsi="Swis721 Cn BT"/>
        </w:rPr>
        <w:t xml:space="preserve"> Para el calculo del EBITDA se ha eliminado el efecto de las provisiones, esto debido a que el aumento de estas es significativo y tienen un carácter extraordinario, esta variante del cálculo del EBITDA se realizó para demostrar una visión más operativa de los resultados de la Universidad.</w:t>
      </w:r>
    </w:p>
    <w:p w14:paraId="047FC04C" w14:textId="77777777" w:rsidR="001A126A" w:rsidRDefault="001A126A" w:rsidP="00677AC0">
      <w:pPr>
        <w:pStyle w:val="Prrafodelista"/>
        <w:spacing w:line="276" w:lineRule="auto"/>
        <w:jc w:val="both"/>
        <w:rPr>
          <w:rFonts w:ascii="Swis721 Cn BT" w:hAnsi="Swis721 Cn BT"/>
        </w:rPr>
      </w:pPr>
    </w:p>
    <w:p w14:paraId="5DA9F733" w14:textId="77777777" w:rsidR="001A126A" w:rsidRPr="00D06B2B" w:rsidRDefault="001A126A" w:rsidP="00677AC0">
      <w:pPr>
        <w:pStyle w:val="Prrafodelista"/>
        <w:spacing w:line="276" w:lineRule="auto"/>
        <w:jc w:val="both"/>
        <w:rPr>
          <w:rFonts w:ascii="Swis721 Cn BT" w:hAnsi="Swis721 Cn BT"/>
        </w:rPr>
      </w:pPr>
      <w:r w:rsidRPr="00D06B2B">
        <w:rPr>
          <w:rFonts w:ascii="Swis721 Cn BT" w:hAnsi="Swis721 Cn BT"/>
        </w:rPr>
        <w:t>Puntos clave del análisis:</w:t>
      </w:r>
    </w:p>
    <w:p w14:paraId="4D465351" w14:textId="77777777" w:rsidR="001A126A" w:rsidRPr="00D06B2B" w:rsidRDefault="001A126A" w:rsidP="00677AC0">
      <w:pPr>
        <w:pStyle w:val="Prrafodelista"/>
        <w:spacing w:line="276" w:lineRule="auto"/>
        <w:jc w:val="both"/>
        <w:rPr>
          <w:rFonts w:ascii="Swis721 Cn BT" w:hAnsi="Swis721 Cn BT"/>
        </w:rPr>
      </w:pPr>
    </w:p>
    <w:p w14:paraId="077F9AB0" w14:textId="0E2145EC" w:rsidR="001A126A" w:rsidRPr="00D06B2B" w:rsidRDefault="001A126A" w:rsidP="00677AC0">
      <w:pPr>
        <w:pStyle w:val="Prrafodelista"/>
        <w:numPr>
          <w:ilvl w:val="0"/>
          <w:numId w:val="9"/>
        </w:numPr>
        <w:spacing w:line="276" w:lineRule="auto"/>
        <w:jc w:val="both"/>
        <w:rPr>
          <w:rFonts w:ascii="Swis721 Cn BT" w:hAnsi="Swis721 Cn BT"/>
        </w:rPr>
      </w:pPr>
      <w:r w:rsidRPr="001A126A">
        <w:rPr>
          <w:rFonts w:ascii="Swis721 Cn BT" w:hAnsi="Swis721 Cn BT"/>
        </w:rPr>
        <w:t>La estabilidad del EBITDA confirma que la operación continúa siendo eficiente y equilibrada entre ingresos y costos directos.</w:t>
      </w:r>
    </w:p>
    <w:p w14:paraId="74404A51" w14:textId="77777777" w:rsidR="001A126A" w:rsidRPr="001A126A" w:rsidRDefault="001A126A" w:rsidP="00677AC0">
      <w:pPr>
        <w:pStyle w:val="Prrafodelista"/>
        <w:spacing w:line="276" w:lineRule="auto"/>
        <w:ind w:left="1080"/>
        <w:jc w:val="both"/>
        <w:rPr>
          <w:rFonts w:ascii="Swis721 Cn BT" w:hAnsi="Swis721 Cn BT"/>
        </w:rPr>
      </w:pPr>
    </w:p>
    <w:p w14:paraId="042140A5" w14:textId="77777777" w:rsidR="001A126A" w:rsidRPr="00D06B2B" w:rsidRDefault="001A126A" w:rsidP="00677AC0">
      <w:pPr>
        <w:pStyle w:val="Prrafodelista"/>
        <w:numPr>
          <w:ilvl w:val="0"/>
          <w:numId w:val="9"/>
        </w:numPr>
        <w:spacing w:line="276" w:lineRule="auto"/>
        <w:jc w:val="both"/>
        <w:rPr>
          <w:rFonts w:ascii="Swis721 Cn BT" w:hAnsi="Swis721 Cn BT"/>
        </w:rPr>
      </w:pPr>
      <w:r w:rsidRPr="00D06B2B">
        <w:rPr>
          <w:rFonts w:ascii="Swis721 Cn BT" w:hAnsi="Swis721 Cn BT"/>
        </w:rPr>
        <w:t>La variación mínima del EBITDA puede explicarse por ajustes menores dentro de las partidas operativas, pero no por un empeoramiento en el desempeño estructural de la institución.</w:t>
      </w:r>
    </w:p>
    <w:p w14:paraId="0AB9AD45" w14:textId="77777777" w:rsidR="001A126A" w:rsidRPr="00D06B2B" w:rsidRDefault="001A126A" w:rsidP="00677AC0">
      <w:pPr>
        <w:pStyle w:val="Prrafodelista"/>
        <w:spacing w:line="276" w:lineRule="auto"/>
        <w:jc w:val="both"/>
        <w:rPr>
          <w:rFonts w:ascii="Swis721 Cn BT" w:hAnsi="Swis721 Cn BT"/>
        </w:rPr>
      </w:pPr>
    </w:p>
    <w:p w14:paraId="41B23450" w14:textId="07344388" w:rsidR="001A126A" w:rsidRDefault="001A126A" w:rsidP="00677AC0">
      <w:pPr>
        <w:pStyle w:val="Prrafodelista"/>
        <w:numPr>
          <w:ilvl w:val="0"/>
          <w:numId w:val="9"/>
        </w:numPr>
        <w:spacing w:line="276" w:lineRule="auto"/>
        <w:jc w:val="both"/>
        <w:rPr>
          <w:rFonts w:ascii="Swis721 Cn BT" w:hAnsi="Swis721 Cn BT"/>
        </w:rPr>
      </w:pPr>
      <w:r w:rsidRPr="00D06B2B">
        <w:rPr>
          <w:rFonts w:ascii="Swis721 Cn BT" w:hAnsi="Swis721 Cn BT"/>
        </w:rPr>
        <w:t xml:space="preserve">La lectura del EBITDA aislado de efectos contables permite evaluar con mayor precisión la salud real del negocio </w:t>
      </w:r>
      <w:r w:rsidR="00D06B2B" w:rsidRPr="00D06B2B">
        <w:rPr>
          <w:rFonts w:ascii="Swis721 Cn BT" w:hAnsi="Swis721 Cn BT"/>
        </w:rPr>
        <w:t>universitario,</w:t>
      </w:r>
      <w:r w:rsidRPr="00D06B2B">
        <w:rPr>
          <w:rFonts w:ascii="Swis721 Cn BT" w:hAnsi="Swis721 Cn BT"/>
        </w:rPr>
        <w:t xml:space="preserve"> sin distorsiones provocadas por gastos no recurrentes como la depreciación por</w:t>
      </w:r>
      <w:r w:rsidRPr="001A126A">
        <w:rPr>
          <w:rFonts w:ascii="Swis721 Cn BT" w:hAnsi="Swis721 Cn BT"/>
        </w:rPr>
        <w:t xml:space="preserve"> retasación o la provisión extraordinaria de cuentas incobrables.</w:t>
      </w:r>
    </w:p>
    <w:p w14:paraId="07F74156" w14:textId="77777777" w:rsidR="008650EA" w:rsidRDefault="008650EA" w:rsidP="008650EA">
      <w:pPr>
        <w:spacing w:line="276" w:lineRule="auto"/>
        <w:jc w:val="both"/>
        <w:rPr>
          <w:rFonts w:ascii="Swis721 Cn BT" w:hAnsi="Swis721 Cn BT"/>
        </w:rPr>
      </w:pPr>
    </w:p>
    <w:p w14:paraId="7903AD1B" w14:textId="77777777" w:rsidR="00887E14" w:rsidRDefault="00887E14" w:rsidP="008650EA">
      <w:pPr>
        <w:spacing w:line="276" w:lineRule="auto"/>
        <w:jc w:val="both"/>
        <w:rPr>
          <w:rFonts w:ascii="Swis721 Cn BT" w:hAnsi="Swis721 Cn BT"/>
        </w:rPr>
      </w:pPr>
    </w:p>
    <w:p w14:paraId="454F19A9" w14:textId="77777777" w:rsidR="00887E14" w:rsidRPr="008650EA" w:rsidRDefault="00887E14" w:rsidP="008650EA">
      <w:pPr>
        <w:spacing w:line="276" w:lineRule="auto"/>
        <w:jc w:val="both"/>
        <w:rPr>
          <w:rFonts w:ascii="Swis721 Cn BT" w:hAnsi="Swis721 Cn BT"/>
        </w:rPr>
      </w:pPr>
    </w:p>
    <w:p w14:paraId="41130667" w14:textId="77777777" w:rsidR="00D06B2B" w:rsidRPr="00D06B2B" w:rsidRDefault="00D06B2B" w:rsidP="00677AC0">
      <w:pPr>
        <w:pStyle w:val="Prrafodelista"/>
        <w:spacing w:line="276" w:lineRule="auto"/>
        <w:rPr>
          <w:rFonts w:ascii="Swis721 Cn BT" w:hAnsi="Swis721 Cn BT"/>
        </w:rPr>
      </w:pPr>
    </w:p>
    <w:p w14:paraId="37FE716F" w14:textId="77777777" w:rsidR="001A126A" w:rsidRDefault="001A126A" w:rsidP="00677AC0">
      <w:pPr>
        <w:pStyle w:val="Prrafodelista"/>
        <w:numPr>
          <w:ilvl w:val="0"/>
          <w:numId w:val="8"/>
        </w:numPr>
        <w:spacing w:line="276" w:lineRule="auto"/>
        <w:jc w:val="both"/>
        <w:rPr>
          <w:rFonts w:ascii="Swis721 Cn BT" w:hAnsi="Swis721 Cn BT"/>
          <w:b/>
          <w:bCs/>
        </w:rPr>
      </w:pPr>
      <w:r w:rsidRPr="001A126A">
        <w:rPr>
          <w:rFonts w:ascii="Swis721 Cn BT" w:hAnsi="Swis721 Cn BT"/>
          <w:b/>
          <w:bCs/>
        </w:rPr>
        <w:t>Explicación de la variación en indicadore</w:t>
      </w:r>
      <w:r>
        <w:rPr>
          <w:rFonts w:ascii="Swis721 Cn BT" w:hAnsi="Swis721 Cn BT"/>
          <w:b/>
          <w:bCs/>
        </w:rPr>
        <w:t>s</w:t>
      </w:r>
    </w:p>
    <w:p w14:paraId="74706169" w14:textId="77777777" w:rsidR="001A126A" w:rsidRDefault="001A126A" w:rsidP="00677AC0">
      <w:pPr>
        <w:pStyle w:val="Prrafodelista"/>
        <w:spacing w:line="276" w:lineRule="auto"/>
        <w:jc w:val="both"/>
        <w:rPr>
          <w:rFonts w:ascii="Swis721 Cn BT" w:hAnsi="Swis721 Cn BT"/>
          <w:b/>
          <w:bCs/>
        </w:rPr>
      </w:pPr>
    </w:p>
    <w:p w14:paraId="3D4EF785" w14:textId="788E90FA" w:rsidR="001A126A" w:rsidRPr="00D06B2B" w:rsidRDefault="001A126A" w:rsidP="00677AC0">
      <w:pPr>
        <w:pStyle w:val="Prrafodelista"/>
        <w:spacing w:line="276" w:lineRule="auto"/>
        <w:jc w:val="both"/>
        <w:rPr>
          <w:rFonts w:ascii="Swis721 Cn BT" w:hAnsi="Swis721 Cn BT"/>
        </w:rPr>
      </w:pPr>
      <w:r w:rsidRPr="00D06B2B">
        <w:rPr>
          <w:rFonts w:ascii="Swis721 Cn BT" w:hAnsi="Swis721 Cn BT"/>
        </w:rPr>
        <w:t xml:space="preserve">Al analizar los demás indicadores financieros, como resultado operacional, margen bruto y liquidez, se observa que las variaciones están directamente relacionadas con los efectos contables descritos en el punto </w:t>
      </w:r>
      <w:r w:rsidR="00D06B2B" w:rsidRPr="00D06B2B">
        <w:rPr>
          <w:rFonts w:ascii="Swis721 Cn BT" w:hAnsi="Swis721 Cn BT"/>
        </w:rPr>
        <w:t>2:</w:t>
      </w:r>
    </w:p>
    <w:p w14:paraId="08F5AA83" w14:textId="77777777" w:rsidR="001A126A" w:rsidRPr="00D06B2B" w:rsidRDefault="001A126A" w:rsidP="00677AC0">
      <w:pPr>
        <w:pStyle w:val="Prrafodelista"/>
        <w:spacing w:line="276" w:lineRule="auto"/>
        <w:jc w:val="both"/>
        <w:rPr>
          <w:rFonts w:ascii="Swis721 Cn BT" w:hAnsi="Swis721 Cn BT"/>
        </w:rPr>
      </w:pPr>
    </w:p>
    <w:p w14:paraId="7B6AE555" w14:textId="0FFF76E5" w:rsidR="001A126A" w:rsidRPr="00D06B2B" w:rsidRDefault="001A126A" w:rsidP="00677AC0">
      <w:pPr>
        <w:pStyle w:val="Prrafodelista"/>
        <w:numPr>
          <w:ilvl w:val="0"/>
          <w:numId w:val="9"/>
        </w:numPr>
        <w:spacing w:line="276" w:lineRule="auto"/>
        <w:jc w:val="both"/>
        <w:rPr>
          <w:rFonts w:ascii="Swis721 Cn BT" w:hAnsi="Swis721 Cn BT"/>
        </w:rPr>
      </w:pPr>
      <w:r w:rsidRPr="00D06B2B">
        <w:rPr>
          <w:rFonts w:ascii="Swis721 Cn BT" w:hAnsi="Swis721 Cn BT"/>
        </w:rPr>
        <w:t xml:space="preserve">El aumento en la depreciación —derivado de la retasación de activos— afecta el resultado operacional, pero no impacta el flujo de caja ni la rentabilidad real de la </w:t>
      </w:r>
      <w:r w:rsidR="00D06B2B" w:rsidRPr="00D06B2B">
        <w:rPr>
          <w:rFonts w:ascii="Swis721 Cn BT" w:hAnsi="Swis721 Cn BT"/>
        </w:rPr>
        <w:t>operación.</w:t>
      </w:r>
    </w:p>
    <w:p w14:paraId="725F6E68" w14:textId="77777777" w:rsidR="001A126A" w:rsidRPr="00D06B2B" w:rsidRDefault="001A126A" w:rsidP="00677AC0">
      <w:pPr>
        <w:pStyle w:val="Prrafodelista"/>
        <w:spacing w:line="276" w:lineRule="auto"/>
        <w:ind w:left="1080"/>
        <w:jc w:val="both"/>
        <w:rPr>
          <w:rFonts w:ascii="Swis721 Cn BT" w:hAnsi="Swis721 Cn BT"/>
        </w:rPr>
      </w:pPr>
    </w:p>
    <w:p w14:paraId="08481618" w14:textId="5684694D" w:rsidR="001A126A" w:rsidRPr="00D06B2B" w:rsidRDefault="001A126A" w:rsidP="00677AC0">
      <w:pPr>
        <w:pStyle w:val="Prrafodelista"/>
        <w:numPr>
          <w:ilvl w:val="0"/>
          <w:numId w:val="9"/>
        </w:numPr>
        <w:spacing w:line="276" w:lineRule="auto"/>
        <w:jc w:val="both"/>
        <w:rPr>
          <w:rFonts w:ascii="Swis721 Cn BT" w:hAnsi="Swis721 Cn BT"/>
        </w:rPr>
      </w:pPr>
      <w:r w:rsidRPr="00D06B2B">
        <w:rPr>
          <w:rFonts w:ascii="Swis721 Cn BT" w:hAnsi="Swis721 Cn BT"/>
        </w:rPr>
        <w:t xml:space="preserve">La provisión extraordinaria por incobrabilidad, al ser un gasto contable no monetario, afecta el resultado neto sin comprometer la ejecución presupuestaria ni la sostenibilidad </w:t>
      </w:r>
      <w:r w:rsidR="00D06B2B" w:rsidRPr="00D06B2B">
        <w:rPr>
          <w:rFonts w:ascii="Swis721 Cn BT" w:hAnsi="Swis721 Cn BT"/>
        </w:rPr>
        <w:t>financiera.</w:t>
      </w:r>
    </w:p>
    <w:p w14:paraId="5084585B" w14:textId="77777777" w:rsidR="001A126A" w:rsidRPr="00D06B2B" w:rsidRDefault="001A126A" w:rsidP="00677AC0">
      <w:pPr>
        <w:pStyle w:val="Prrafodelista"/>
        <w:spacing w:line="276" w:lineRule="auto"/>
        <w:jc w:val="both"/>
        <w:rPr>
          <w:rFonts w:ascii="Swis721 Cn BT" w:hAnsi="Swis721 Cn BT"/>
        </w:rPr>
      </w:pPr>
    </w:p>
    <w:p w14:paraId="4C44476A" w14:textId="550314EE" w:rsidR="001A126A" w:rsidRDefault="001A126A" w:rsidP="00677AC0">
      <w:pPr>
        <w:pStyle w:val="Prrafodelista"/>
        <w:numPr>
          <w:ilvl w:val="0"/>
          <w:numId w:val="9"/>
        </w:numPr>
        <w:spacing w:line="276" w:lineRule="auto"/>
        <w:jc w:val="both"/>
        <w:rPr>
          <w:rFonts w:ascii="Swis721 Cn BT" w:hAnsi="Swis721 Cn BT"/>
        </w:rPr>
      </w:pPr>
      <w:r w:rsidRPr="00D06B2B">
        <w:rPr>
          <w:rFonts w:ascii="Swis721 Cn BT" w:hAnsi="Swis721 Cn BT"/>
        </w:rPr>
        <w:t xml:space="preserve">La liquidez institucional se mantiene sin alteraciones sustanciales, ya que no se han producido salidas de efectivo equivalentes a los cargos por depreciación y </w:t>
      </w:r>
      <w:r w:rsidR="00D06B2B" w:rsidRPr="00D06B2B">
        <w:rPr>
          <w:rFonts w:ascii="Swis721 Cn BT" w:hAnsi="Swis721 Cn BT"/>
        </w:rPr>
        <w:t>provisión.</w:t>
      </w:r>
    </w:p>
    <w:p w14:paraId="3710D03A" w14:textId="77777777" w:rsidR="002A72B3" w:rsidRPr="002A72B3" w:rsidRDefault="002A72B3" w:rsidP="00677AC0">
      <w:pPr>
        <w:pStyle w:val="Prrafodelista"/>
        <w:spacing w:line="276" w:lineRule="auto"/>
        <w:rPr>
          <w:rFonts w:ascii="Swis721 Cn BT" w:hAnsi="Swis721 Cn BT"/>
        </w:rPr>
      </w:pPr>
    </w:p>
    <w:p w14:paraId="506D8395" w14:textId="4956A211" w:rsidR="002A72B3" w:rsidRPr="00D06B2B" w:rsidRDefault="002D0FBB" w:rsidP="00677AC0">
      <w:pPr>
        <w:pStyle w:val="Prrafodelista"/>
        <w:spacing w:line="276" w:lineRule="auto"/>
        <w:jc w:val="both"/>
        <w:rPr>
          <w:rFonts w:ascii="Swis721 Cn BT" w:hAnsi="Swis721 Cn BT"/>
        </w:rPr>
      </w:pPr>
      <w:r w:rsidRPr="002D0FBB">
        <w:rPr>
          <w:noProof/>
        </w:rPr>
        <w:drawing>
          <wp:inline distT="0" distB="0" distL="0" distR="0" wp14:anchorId="6FD4C174" wp14:editId="6E1BB8CD">
            <wp:extent cx="5612130" cy="991235"/>
            <wp:effectExtent l="0" t="0" r="7620" b="0"/>
            <wp:docPr id="6030013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991235"/>
                    </a:xfrm>
                    <a:prstGeom prst="rect">
                      <a:avLst/>
                    </a:prstGeom>
                    <a:noFill/>
                    <a:ln>
                      <a:noFill/>
                    </a:ln>
                  </pic:spPr>
                </pic:pic>
              </a:graphicData>
            </a:graphic>
          </wp:inline>
        </w:drawing>
      </w:r>
    </w:p>
    <w:p w14:paraId="145DC51F" w14:textId="48AEE2CB" w:rsidR="002A72B3" w:rsidRPr="00D06B2B" w:rsidRDefault="002A72B3" w:rsidP="00677AC0">
      <w:pPr>
        <w:pStyle w:val="Prrafodelista"/>
        <w:spacing w:line="276" w:lineRule="auto"/>
        <w:jc w:val="center"/>
        <w:rPr>
          <w:rFonts w:ascii="Swis721 Cn BT" w:hAnsi="Swis721 Cn BT"/>
        </w:rPr>
      </w:pPr>
      <w:r w:rsidRPr="00D06B2B">
        <w:rPr>
          <w:rFonts w:ascii="Swis721 Cn BT" w:hAnsi="Swis721 Cn BT"/>
        </w:rPr>
        <w:t xml:space="preserve">Tabla </w:t>
      </w:r>
      <w:r w:rsidR="00C0588E">
        <w:rPr>
          <w:rFonts w:ascii="Swis721 Cn BT" w:hAnsi="Swis721 Cn BT"/>
        </w:rPr>
        <w:t>6</w:t>
      </w:r>
      <w:r w:rsidRPr="00D06B2B">
        <w:rPr>
          <w:rFonts w:ascii="Swis721 Cn BT" w:hAnsi="Swis721 Cn BT"/>
        </w:rPr>
        <w:t>: Indicadores Financieros</w:t>
      </w:r>
    </w:p>
    <w:p w14:paraId="72749D4C" w14:textId="49CAD31C" w:rsidR="001A126A" w:rsidRPr="001A126A" w:rsidRDefault="001A126A" w:rsidP="00677AC0">
      <w:pPr>
        <w:spacing w:line="276" w:lineRule="auto"/>
        <w:jc w:val="both"/>
        <w:rPr>
          <w:rFonts w:ascii="Swis721 Cn BT" w:hAnsi="Swis721 Cn BT"/>
        </w:rPr>
      </w:pPr>
    </w:p>
    <w:p w14:paraId="7EC36D1C" w14:textId="77777777" w:rsidR="001A126A" w:rsidRPr="001A126A" w:rsidRDefault="001A126A" w:rsidP="00677AC0">
      <w:pPr>
        <w:spacing w:line="276" w:lineRule="auto"/>
        <w:jc w:val="both"/>
        <w:rPr>
          <w:rFonts w:ascii="Swis721 Cn BT" w:hAnsi="Swis721 Cn BT"/>
          <w:b/>
          <w:bCs/>
        </w:rPr>
      </w:pPr>
      <w:r w:rsidRPr="001A126A">
        <w:rPr>
          <w:rFonts w:ascii="Swis721 Cn BT" w:hAnsi="Swis721 Cn BT"/>
          <w:b/>
          <w:bCs/>
        </w:rPr>
        <w:t>Conclusión del análisis de indicadores.</w:t>
      </w:r>
    </w:p>
    <w:p w14:paraId="57B2E05D" w14:textId="125A0AAF" w:rsidR="00D22E21" w:rsidRPr="001A126A" w:rsidRDefault="001A126A" w:rsidP="00677AC0">
      <w:pPr>
        <w:spacing w:line="276" w:lineRule="auto"/>
        <w:jc w:val="both"/>
        <w:rPr>
          <w:rFonts w:ascii="Swis721 Cn BT" w:hAnsi="Swis721 Cn BT"/>
        </w:rPr>
      </w:pPr>
      <w:r w:rsidRPr="001A126A">
        <w:rPr>
          <w:rFonts w:ascii="Swis721 Cn BT" w:hAnsi="Swis721 Cn BT"/>
        </w:rPr>
        <w:t xml:space="preserve">La lectura completa de los indicadores demuestra que, pese al resultado contable negativo, la universidad ha mantenido su eficiencia operativa y su equilibrio </w:t>
      </w:r>
      <w:r w:rsidR="00D06B2B" w:rsidRPr="001A126A">
        <w:rPr>
          <w:rFonts w:ascii="Swis721 Cn BT" w:hAnsi="Swis721 Cn BT"/>
        </w:rPr>
        <w:t>financiero.</w:t>
      </w:r>
      <w:r w:rsidRPr="001A126A">
        <w:rPr>
          <w:rFonts w:ascii="Swis721 Cn BT" w:hAnsi="Swis721 Cn BT"/>
        </w:rPr>
        <w:t xml:space="preserve"> El EBITDA se conserva estable, lo que refuerza que la institución sigue generando valor a través de su actividad principal y que los ajustes contables realizados durante el ejercicio no representan una amenaza para la sostenibilidad económica.</w:t>
      </w:r>
    </w:p>
    <w:p w14:paraId="6897BE6E" w14:textId="77777777" w:rsidR="007B5E65" w:rsidRPr="007B5E65" w:rsidRDefault="007B5E65" w:rsidP="00677AC0">
      <w:pPr>
        <w:spacing w:line="276" w:lineRule="auto"/>
        <w:jc w:val="both"/>
        <w:rPr>
          <w:rFonts w:ascii="Swis721 Cn BT" w:hAnsi="Swis721 Cn BT"/>
          <w:lang w:val="es-ES"/>
        </w:rPr>
      </w:pPr>
    </w:p>
    <w:sectPr w:rsidR="007B5E65" w:rsidRPr="007B5E65" w:rsidSect="008650EA">
      <w:headerReference w:type="default" r:id="rId17"/>
      <w:pgSz w:w="12240" w:h="18720"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C501" w14:textId="77777777" w:rsidR="00291B65" w:rsidRDefault="00291B65" w:rsidP="00800197">
      <w:pPr>
        <w:spacing w:after="0" w:line="240" w:lineRule="auto"/>
      </w:pPr>
      <w:r>
        <w:separator/>
      </w:r>
    </w:p>
  </w:endnote>
  <w:endnote w:type="continuationSeparator" w:id="0">
    <w:p w14:paraId="4714E3E3" w14:textId="77777777" w:rsidR="00291B65" w:rsidRDefault="00291B65" w:rsidP="0080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wiss 721 Condensed BT">
    <w:altName w:val="Calibri"/>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99C0" w14:textId="77777777" w:rsidR="00291B65" w:rsidRDefault="00291B65" w:rsidP="00800197">
      <w:pPr>
        <w:spacing w:after="0" w:line="240" w:lineRule="auto"/>
      </w:pPr>
      <w:r>
        <w:separator/>
      </w:r>
    </w:p>
  </w:footnote>
  <w:footnote w:type="continuationSeparator" w:id="0">
    <w:p w14:paraId="366F62E3" w14:textId="77777777" w:rsidR="00291B65" w:rsidRDefault="00291B65" w:rsidP="0080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0" w:type="dxa"/>
      <w:tblInd w:w="-147" w:type="dxa"/>
      <w:tblLook w:val="04A0" w:firstRow="1" w:lastRow="0" w:firstColumn="1" w:lastColumn="0" w:noHBand="0" w:noVBand="1"/>
    </w:tblPr>
    <w:tblGrid>
      <w:gridCol w:w="5015"/>
      <w:gridCol w:w="5595"/>
    </w:tblGrid>
    <w:tr w:rsidR="00800197" w:rsidRPr="00FB08FF" w14:paraId="05C55438" w14:textId="77777777" w:rsidTr="0065359E">
      <w:trPr>
        <w:trHeight w:val="1045"/>
      </w:trPr>
      <w:tc>
        <w:tcPr>
          <w:tcW w:w="5015" w:type="dxa"/>
          <w:shd w:val="clear" w:color="auto" w:fill="auto"/>
          <w:vAlign w:val="bottom"/>
        </w:tcPr>
        <w:p w14:paraId="46591DB3" w14:textId="77777777" w:rsidR="00800197" w:rsidRPr="00FB08FF" w:rsidRDefault="00800197" w:rsidP="00800197">
          <w:pPr>
            <w:pStyle w:val="Encabezado"/>
            <w:rPr>
              <w:color w:val="003C69"/>
            </w:rPr>
          </w:pPr>
          <w:bookmarkStart w:id="0" w:name="_Hlk195693415"/>
          <w:bookmarkStart w:id="1" w:name="_Hlk195693416"/>
          <w:r w:rsidRPr="00FB08FF">
            <w:rPr>
              <w:rFonts w:ascii="Swiss 721 Condensed BT" w:hAnsi="Swiss 721 Condensed BT"/>
              <w:b/>
              <w:noProof/>
              <w:color w:val="003C69"/>
              <w:sz w:val="18"/>
            </w:rPr>
            <w:drawing>
              <wp:inline distT="0" distB="0" distL="0" distR="0" wp14:anchorId="788E3DCD" wp14:editId="64640C9D">
                <wp:extent cx="1376680" cy="645160"/>
                <wp:effectExtent l="0" t="0" r="0" b="0"/>
                <wp:docPr id="1" name="Imagen 1" descr="Logotip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Logotipo&#10;&#10;El contenido generado por IA puede ser incorrect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645160"/>
                        </a:xfrm>
                        <a:prstGeom prst="rect">
                          <a:avLst/>
                        </a:prstGeom>
                        <a:noFill/>
                        <a:ln>
                          <a:noFill/>
                        </a:ln>
                      </pic:spPr>
                    </pic:pic>
                  </a:graphicData>
                </a:graphic>
              </wp:inline>
            </w:drawing>
          </w:r>
        </w:p>
      </w:tc>
      <w:tc>
        <w:tcPr>
          <w:tcW w:w="5595" w:type="dxa"/>
          <w:shd w:val="clear" w:color="auto" w:fill="auto"/>
          <w:vAlign w:val="bottom"/>
        </w:tcPr>
        <w:p w14:paraId="63D537AA" w14:textId="282D535E" w:rsidR="00800197" w:rsidRPr="00FB08FF" w:rsidRDefault="00800197" w:rsidP="00800197">
          <w:pPr>
            <w:pStyle w:val="Encabezado"/>
            <w:rPr>
              <w:color w:val="003C69"/>
            </w:rPr>
          </w:pPr>
          <w:r>
            <w:rPr>
              <w:color w:val="003C69"/>
            </w:rPr>
            <w:t xml:space="preserve">              </w:t>
          </w:r>
          <w:r w:rsidRPr="00FB08FF">
            <w:rPr>
              <w:noProof/>
              <w:color w:val="003C69"/>
            </w:rPr>
            <w:drawing>
              <wp:inline distT="0" distB="0" distL="0" distR="0" wp14:anchorId="21C8215C" wp14:editId="6D44BF1F">
                <wp:extent cx="2053731" cy="648000"/>
                <wp:effectExtent l="0" t="0" r="3810" b="0"/>
                <wp:docPr id="2" name="Imagen 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Texto&#10;&#10;El contenido generado por IA puede ser incorrecto."/>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3731" cy="648000"/>
                        </a:xfrm>
                        <a:prstGeom prst="rect">
                          <a:avLst/>
                        </a:prstGeom>
                        <a:noFill/>
                        <a:ln>
                          <a:noFill/>
                        </a:ln>
                      </pic:spPr>
                    </pic:pic>
                  </a:graphicData>
                </a:graphic>
              </wp:inline>
            </w:drawing>
          </w:r>
        </w:p>
      </w:tc>
    </w:tr>
  </w:tbl>
  <w:p w14:paraId="7E3CAB8D" w14:textId="77777777" w:rsidR="00800197" w:rsidRDefault="00800197" w:rsidP="00800197">
    <w:pPr>
      <w:pStyle w:val="Encabezado"/>
      <w:jc w:val="center"/>
      <w:rPr>
        <w:color w:val="003C69"/>
      </w:rPr>
    </w:pPr>
  </w:p>
  <w:bookmarkEnd w:id="0"/>
  <w:bookmarkEnd w:id="1"/>
  <w:p w14:paraId="2B00EB50" w14:textId="77777777" w:rsidR="00800197" w:rsidRPr="00800197" w:rsidRDefault="00800197" w:rsidP="0080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61497"/>
    <w:multiLevelType w:val="hybridMultilevel"/>
    <w:tmpl w:val="9B6613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DA0528"/>
    <w:multiLevelType w:val="hybridMultilevel"/>
    <w:tmpl w:val="52D64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CB14C3B"/>
    <w:multiLevelType w:val="hybridMultilevel"/>
    <w:tmpl w:val="2FE859F8"/>
    <w:lvl w:ilvl="0" w:tplc="EFF88058">
      <w:start w:val="1"/>
      <w:numFmt w:val="lowerLetter"/>
      <w:lvlText w:val="%1)"/>
      <w:lvlJc w:val="left"/>
      <w:pPr>
        <w:ind w:left="720" w:hanging="360"/>
      </w:pPr>
      <w:rPr>
        <w:rFonts w:ascii="Times New Roman" w:eastAsia="Times New Roman" w:hAnsi="Times New Roman" w:cs="Times New Roman"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252797"/>
    <w:multiLevelType w:val="hybridMultilevel"/>
    <w:tmpl w:val="6A42D166"/>
    <w:lvl w:ilvl="0" w:tplc="E0F6C6E2">
      <w:start w:val="2"/>
      <w:numFmt w:val="bullet"/>
      <w:lvlText w:val="-"/>
      <w:lvlJc w:val="left"/>
      <w:pPr>
        <w:ind w:left="1080" w:hanging="360"/>
      </w:pPr>
      <w:rPr>
        <w:rFonts w:ascii="Swis721 Cn BT" w:eastAsiaTheme="minorHAnsi" w:hAnsi="Swis721 Cn BT"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311C2B39"/>
    <w:multiLevelType w:val="multilevel"/>
    <w:tmpl w:val="ECE6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352F3"/>
    <w:multiLevelType w:val="multilevel"/>
    <w:tmpl w:val="15B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86385"/>
    <w:multiLevelType w:val="hybridMultilevel"/>
    <w:tmpl w:val="7FAC665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B7E0545"/>
    <w:multiLevelType w:val="hybridMultilevel"/>
    <w:tmpl w:val="7188ED6E"/>
    <w:lvl w:ilvl="0" w:tplc="79202464">
      <w:start w:val="1"/>
      <w:numFmt w:val="bullet"/>
      <w:lvlText w:val="-"/>
      <w:lvlJc w:val="left"/>
      <w:pPr>
        <w:ind w:left="1080" w:hanging="360"/>
      </w:pPr>
      <w:rPr>
        <w:rFonts w:ascii="Swis721 Cn BT" w:eastAsiaTheme="minorHAnsi" w:hAnsi="Swis721 Cn BT" w:cstheme="minorBid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C0D03F7"/>
    <w:multiLevelType w:val="multilevel"/>
    <w:tmpl w:val="AFF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30EC8"/>
    <w:multiLevelType w:val="multilevel"/>
    <w:tmpl w:val="7B8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A16FD"/>
    <w:multiLevelType w:val="hybridMultilevel"/>
    <w:tmpl w:val="3E686A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9DC5996"/>
    <w:multiLevelType w:val="multilevel"/>
    <w:tmpl w:val="384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0F0D68"/>
    <w:multiLevelType w:val="multilevel"/>
    <w:tmpl w:val="EA0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7722C"/>
    <w:multiLevelType w:val="multilevel"/>
    <w:tmpl w:val="8DF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003C6"/>
    <w:multiLevelType w:val="multilevel"/>
    <w:tmpl w:val="D60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B2A76"/>
    <w:multiLevelType w:val="hybridMultilevel"/>
    <w:tmpl w:val="54F83A44"/>
    <w:lvl w:ilvl="0" w:tplc="79202464">
      <w:start w:val="1"/>
      <w:numFmt w:val="bullet"/>
      <w:lvlText w:val="-"/>
      <w:lvlJc w:val="left"/>
      <w:pPr>
        <w:ind w:left="1080" w:hanging="360"/>
      </w:pPr>
      <w:rPr>
        <w:rFonts w:ascii="Swis721 Cn BT" w:eastAsiaTheme="minorHAnsi" w:hAnsi="Swis721 Cn BT"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71889921">
    <w:abstractNumId w:val="9"/>
  </w:num>
  <w:num w:numId="2" w16cid:durableId="1287394248">
    <w:abstractNumId w:val="8"/>
  </w:num>
  <w:num w:numId="3" w16cid:durableId="1102185522">
    <w:abstractNumId w:val="12"/>
  </w:num>
  <w:num w:numId="4" w16cid:durableId="2018075187">
    <w:abstractNumId w:val="5"/>
  </w:num>
  <w:num w:numId="5" w16cid:durableId="1396276271">
    <w:abstractNumId w:val="4"/>
  </w:num>
  <w:num w:numId="6" w16cid:durableId="1432778242">
    <w:abstractNumId w:val="13"/>
  </w:num>
  <w:num w:numId="7" w16cid:durableId="790898469">
    <w:abstractNumId w:val="14"/>
  </w:num>
  <w:num w:numId="8" w16cid:durableId="849871733">
    <w:abstractNumId w:val="0"/>
  </w:num>
  <w:num w:numId="9" w16cid:durableId="1434935844">
    <w:abstractNumId w:val="7"/>
  </w:num>
  <w:num w:numId="10" w16cid:durableId="291601282">
    <w:abstractNumId w:val="15"/>
  </w:num>
  <w:num w:numId="11" w16cid:durableId="1490099469">
    <w:abstractNumId w:val="1"/>
  </w:num>
  <w:num w:numId="12" w16cid:durableId="1334719032">
    <w:abstractNumId w:val="6"/>
  </w:num>
  <w:num w:numId="13" w16cid:durableId="817652571">
    <w:abstractNumId w:val="2"/>
  </w:num>
  <w:num w:numId="14" w16cid:durableId="389227845">
    <w:abstractNumId w:val="3"/>
  </w:num>
  <w:num w:numId="15" w16cid:durableId="152067115">
    <w:abstractNumId w:val="10"/>
  </w:num>
  <w:num w:numId="16" w16cid:durableId="2128811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5"/>
    <w:rsid w:val="00023667"/>
    <w:rsid w:val="00150085"/>
    <w:rsid w:val="00184833"/>
    <w:rsid w:val="001A126A"/>
    <w:rsid w:val="0025656A"/>
    <w:rsid w:val="00291B65"/>
    <w:rsid w:val="002A72B3"/>
    <w:rsid w:val="002D0FBB"/>
    <w:rsid w:val="00367E7F"/>
    <w:rsid w:val="003C7393"/>
    <w:rsid w:val="003F42EA"/>
    <w:rsid w:val="003F66AA"/>
    <w:rsid w:val="00415852"/>
    <w:rsid w:val="00433DDB"/>
    <w:rsid w:val="00497648"/>
    <w:rsid w:val="004B2F2E"/>
    <w:rsid w:val="00677A08"/>
    <w:rsid w:val="00677AC0"/>
    <w:rsid w:val="006838A8"/>
    <w:rsid w:val="006C2E7E"/>
    <w:rsid w:val="006E120C"/>
    <w:rsid w:val="006E56E5"/>
    <w:rsid w:val="007427E5"/>
    <w:rsid w:val="007B5E65"/>
    <w:rsid w:val="00800197"/>
    <w:rsid w:val="008650EA"/>
    <w:rsid w:val="00887E14"/>
    <w:rsid w:val="008B06D7"/>
    <w:rsid w:val="008D7B67"/>
    <w:rsid w:val="008F3054"/>
    <w:rsid w:val="00980A9E"/>
    <w:rsid w:val="00A02775"/>
    <w:rsid w:val="00AA3F09"/>
    <w:rsid w:val="00B53904"/>
    <w:rsid w:val="00B94617"/>
    <w:rsid w:val="00BF3E53"/>
    <w:rsid w:val="00BF6E1C"/>
    <w:rsid w:val="00C0588E"/>
    <w:rsid w:val="00C50512"/>
    <w:rsid w:val="00C64397"/>
    <w:rsid w:val="00D023F4"/>
    <w:rsid w:val="00D06B2B"/>
    <w:rsid w:val="00D22A6B"/>
    <w:rsid w:val="00D22E21"/>
    <w:rsid w:val="00D73C0A"/>
    <w:rsid w:val="00DA1263"/>
    <w:rsid w:val="00E83021"/>
    <w:rsid w:val="00E91686"/>
    <w:rsid w:val="00EB2452"/>
    <w:rsid w:val="00F47478"/>
    <w:rsid w:val="00FB70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1AD3"/>
  <w15:chartTrackingRefBased/>
  <w15:docId w15:val="{A5EF29CA-3FD5-42E9-87A3-86DEAE0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0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0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500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500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00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00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00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00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00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00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00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500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1500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00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00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00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00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0085"/>
    <w:rPr>
      <w:rFonts w:eastAsiaTheme="majorEastAsia" w:cstheme="majorBidi"/>
      <w:color w:val="272727" w:themeColor="text1" w:themeTint="D8"/>
    </w:rPr>
  </w:style>
  <w:style w:type="paragraph" w:styleId="Ttulo">
    <w:name w:val="Title"/>
    <w:basedOn w:val="Normal"/>
    <w:next w:val="Normal"/>
    <w:link w:val="TtuloCar"/>
    <w:uiPriority w:val="10"/>
    <w:qFormat/>
    <w:rsid w:val="00150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00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00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00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0085"/>
    <w:pPr>
      <w:spacing w:before="160"/>
      <w:jc w:val="center"/>
    </w:pPr>
    <w:rPr>
      <w:i/>
      <w:iCs/>
      <w:color w:val="404040" w:themeColor="text1" w:themeTint="BF"/>
    </w:rPr>
  </w:style>
  <w:style w:type="character" w:customStyle="1" w:styleId="CitaCar">
    <w:name w:val="Cita Car"/>
    <w:basedOn w:val="Fuentedeprrafopredeter"/>
    <w:link w:val="Cita"/>
    <w:uiPriority w:val="29"/>
    <w:rsid w:val="00150085"/>
    <w:rPr>
      <w:i/>
      <w:iCs/>
      <w:color w:val="404040" w:themeColor="text1" w:themeTint="BF"/>
    </w:rPr>
  </w:style>
  <w:style w:type="paragraph" w:styleId="Prrafodelista">
    <w:name w:val="List Paragraph"/>
    <w:basedOn w:val="Normal"/>
    <w:uiPriority w:val="34"/>
    <w:qFormat/>
    <w:rsid w:val="00150085"/>
    <w:pPr>
      <w:ind w:left="720"/>
      <w:contextualSpacing/>
    </w:pPr>
  </w:style>
  <w:style w:type="character" w:styleId="nfasisintenso">
    <w:name w:val="Intense Emphasis"/>
    <w:basedOn w:val="Fuentedeprrafopredeter"/>
    <w:uiPriority w:val="21"/>
    <w:qFormat/>
    <w:rsid w:val="00150085"/>
    <w:rPr>
      <w:i/>
      <w:iCs/>
      <w:color w:val="0F4761" w:themeColor="accent1" w:themeShade="BF"/>
    </w:rPr>
  </w:style>
  <w:style w:type="paragraph" w:styleId="Citadestacada">
    <w:name w:val="Intense Quote"/>
    <w:basedOn w:val="Normal"/>
    <w:next w:val="Normal"/>
    <w:link w:val="CitadestacadaCar"/>
    <w:uiPriority w:val="30"/>
    <w:qFormat/>
    <w:rsid w:val="00150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0085"/>
    <w:rPr>
      <w:i/>
      <w:iCs/>
      <w:color w:val="0F4761" w:themeColor="accent1" w:themeShade="BF"/>
    </w:rPr>
  </w:style>
  <w:style w:type="character" w:styleId="Referenciaintensa">
    <w:name w:val="Intense Reference"/>
    <w:basedOn w:val="Fuentedeprrafopredeter"/>
    <w:uiPriority w:val="32"/>
    <w:qFormat/>
    <w:rsid w:val="00150085"/>
    <w:rPr>
      <w:b/>
      <w:bCs/>
      <w:smallCaps/>
      <w:color w:val="0F4761" w:themeColor="accent1" w:themeShade="BF"/>
      <w:spacing w:val="5"/>
    </w:rPr>
  </w:style>
  <w:style w:type="character" w:styleId="Textoennegrita">
    <w:name w:val="Strong"/>
    <w:basedOn w:val="Fuentedeprrafopredeter"/>
    <w:uiPriority w:val="22"/>
    <w:qFormat/>
    <w:rsid w:val="00B53904"/>
    <w:rPr>
      <w:b/>
      <w:bCs/>
    </w:rPr>
  </w:style>
  <w:style w:type="character" w:styleId="nfasis">
    <w:name w:val="Emphasis"/>
    <w:basedOn w:val="Fuentedeprrafopredeter"/>
    <w:uiPriority w:val="20"/>
    <w:qFormat/>
    <w:rsid w:val="00B53904"/>
    <w:rPr>
      <w:i/>
      <w:iCs/>
    </w:rPr>
  </w:style>
  <w:style w:type="paragraph" w:styleId="Encabezado">
    <w:name w:val="header"/>
    <w:basedOn w:val="Normal"/>
    <w:link w:val="EncabezadoCar"/>
    <w:unhideWhenUsed/>
    <w:rsid w:val="0080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197"/>
  </w:style>
  <w:style w:type="paragraph" w:styleId="Piedepgina">
    <w:name w:val="footer"/>
    <w:basedOn w:val="Normal"/>
    <w:link w:val="PiedepginaCar"/>
    <w:uiPriority w:val="99"/>
    <w:unhideWhenUsed/>
    <w:rsid w:val="0080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197"/>
  </w:style>
  <w:style w:type="character" w:styleId="Refdecomentario">
    <w:name w:val="annotation reference"/>
    <w:basedOn w:val="Fuentedeprrafopredeter"/>
    <w:uiPriority w:val="99"/>
    <w:semiHidden/>
    <w:unhideWhenUsed/>
    <w:rsid w:val="00EB2452"/>
    <w:rPr>
      <w:sz w:val="16"/>
      <w:szCs w:val="16"/>
    </w:rPr>
  </w:style>
  <w:style w:type="paragraph" w:styleId="Textocomentario">
    <w:name w:val="annotation text"/>
    <w:basedOn w:val="Normal"/>
    <w:link w:val="TextocomentarioCar"/>
    <w:uiPriority w:val="99"/>
    <w:unhideWhenUsed/>
    <w:rsid w:val="00EB2452"/>
    <w:pPr>
      <w:spacing w:line="240" w:lineRule="auto"/>
    </w:pPr>
    <w:rPr>
      <w:sz w:val="20"/>
      <w:szCs w:val="20"/>
    </w:rPr>
  </w:style>
  <w:style w:type="character" w:customStyle="1" w:styleId="TextocomentarioCar">
    <w:name w:val="Texto comentario Car"/>
    <w:basedOn w:val="Fuentedeprrafopredeter"/>
    <w:link w:val="Textocomentario"/>
    <w:uiPriority w:val="99"/>
    <w:rsid w:val="00EB2452"/>
    <w:rPr>
      <w:sz w:val="20"/>
      <w:szCs w:val="20"/>
    </w:rPr>
  </w:style>
  <w:style w:type="paragraph" w:styleId="Asuntodelcomentario">
    <w:name w:val="annotation subject"/>
    <w:basedOn w:val="Textocomentario"/>
    <w:next w:val="Textocomentario"/>
    <w:link w:val="AsuntodelcomentarioCar"/>
    <w:uiPriority w:val="99"/>
    <w:semiHidden/>
    <w:unhideWhenUsed/>
    <w:rsid w:val="00EB2452"/>
    <w:rPr>
      <w:b/>
      <w:bCs/>
    </w:rPr>
  </w:style>
  <w:style w:type="character" w:customStyle="1" w:styleId="AsuntodelcomentarioCar">
    <w:name w:val="Asunto del comentario Car"/>
    <w:basedOn w:val="TextocomentarioCar"/>
    <w:link w:val="Asuntodelcomentario"/>
    <w:uiPriority w:val="99"/>
    <w:semiHidden/>
    <w:rsid w:val="00EB2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841">
      <w:bodyDiv w:val="1"/>
      <w:marLeft w:val="0"/>
      <w:marRight w:val="0"/>
      <w:marTop w:val="0"/>
      <w:marBottom w:val="0"/>
      <w:divBdr>
        <w:top w:val="none" w:sz="0" w:space="0" w:color="auto"/>
        <w:left w:val="none" w:sz="0" w:space="0" w:color="auto"/>
        <w:bottom w:val="none" w:sz="0" w:space="0" w:color="auto"/>
        <w:right w:val="none" w:sz="0" w:space="0" w:color="auto"/>
      </w:divBdr>
    </w:div>
    <w:div w:id="118962601">
      <w:bodyDiv w:val="1"/>
      <w:marLeft w:val="0"/>
      <w:marRight w:val="0"/>
      <w:marTop w:val="0"/>
      <w:marBottom w:val="0"/>
      <w:divBdr>
        <w:top w:val="none" w:sz="0" w:space="0" w:color="auto"/>
        <w:left w:val="none" w:sz="0" w:space="0" w:color="auto"/>
        <w:bottom w:val="none" w:sz="0" w:space="0" w:color="auto"/>
        <w:right w:val="none" w:sz="0" w:space="0" w:color="auto"/>
      </w:divBdr>
    </w:div>
    <w:div w:id="213926888">
      <w:bodyDiv w:val="1"/>
      <w:marLeft w:val="0"/>
      <w:marRight w:val="0"/>
      <w:marTop w:val="0"/>
      <w:marBottom w:val="0"/>
      <w:divBdr>
        <w:top w:val="none" w:sz="0" w:space="0" w:color="auto"/>
        <w:left w:val="none" w:sz="0" w:space="0" w:color="auto"/>
        <w:bottom w:val="none" w:sz="0" w:space="0" w:color="auto"/>
        <w:right w:val="none" w:sz="0" w:space="0" w:color="auto"/>
      </w:divBdr>
    </w:div>
    <w:div w:id="231044071">
      <w:bodyDiv w:val="1"/>
      <w:marLeft w:val="0"/>
      <w:marRight w:val="0"/>
      <w:marTop w:val="0"/>
      <w:marBottom w:val="0"/>
      <w:divBdr>
        <w:top w:val="none" w:sz="0" w:space="0" w:color="auto"/>
        <w:left w:val="none" w:sz="0" w:space="0" w:color="auto"/>
        <w:bottom w:val="none" w:sz="0" w:space="0" w:color="auto"/>
        <w:right w:val="none" w:sz="0" w:space="0" w:color="auto"/>
      </w:divBdr>
    </w:div>
    <w:div w:id="255287472">
      <w:bodyDiv w:val="1"/>
      <w:marLeft w:val="0"/>
      <w:marRight w:val="0"/>
      <w:marTop w:val="0"/>
      <w:marBottom w:val="0"/>
      <w:divBdr>
        <w:top w:val="none" w:sz="0" w:space="0" w:color="auto"/>
        <w:left w:val="none" w:sz="0" w:space="0" w:color="auto"/>
        <w:bottom w:val="none" w:sz="0" w:space="0" w:color="auto"/>
        <w:right w:val="none" w:sz="0" w:space="0" w:color="auto"/>
      </w:divBdr>
    </w:div>
    <w:div w:id="281695677">
      <w:bodyDiv w:val="1"/>
      <w:marLeft w:val="0"/>
      <w:marRight w:val="0"/>
      <w:marTop w:val="0"/>
      <w:marBottom w:val="0"/>
      <w:divBdr>
        <w:top w:val="none" w:sz="0" w:space="0" w:color="auto"/>
        <w:left w:val="none" w:sz="0" w:space="0" w:color="auto"/>
        <w:bottom w:val="none" w:sz="0" w:space="0" w:color="auto"/>
        <w:right w:val="none" w:sz="0" w:space="0" w:color="auto"/>
      </w:divBdr>
    </w:div>
    <w:div w:id="286472981">
      <w:bodyDiv w:val="1"/>
      <w:marLeft w:val="0"/>
      <w:marRight w:val="0"/>
      <w:marTop w:val="0"/>
      <w:marBottom w:val="0"/>
      <w:divBdr>
        <w:top w:val="none" w:sz="0" w:space="0" w:color="auto"/>
        <w:left w:val="none" w:sz="0" w:space="0" w:color="auto"/>
        <w:bottom w:val="none" w:sz="0" w:space="0" w:color="auto"/>
        <w:right w:val="none" w:sz="0" w:space="0" w:color="auto"/>
      </w:divBdr>
    </w:div>
    <w:div w:id="360326117">
      <w:bodyDiv w:val="1"/>
      <w:marLeft w:val="0"/>
      <w:marRight w:val="0"/>
      <w:marTop w:val="0"/>
      <w:marBottom w:val="0"/>
      <w:divBdr>
        <w:top w:val="none" w:sz="0" w:space="0" w:color="auto"/>
        <w:left w:val="none" w:sz="0" w:space="0" w:color="auto"/>
        <w:bottom w:val="none" w:sz="0" w:space="0" w:color="auto"/>
        <w:right w:val="none" w:sz="0" w:space="0" w:color="auto"/>
      </w:divBdr>
    </w:div>
    <w:div w:id="383255752">
      <w:bodyDiv w:val="1"/>
      <w:marLeft w:val="0"/>
      <w:marRight w:val="0"/>
      <w:marTop w:val="0"/>
      <w:marBottom w:val="0"/>
      <w:divBdr>
        <w:top w:val="none" w:sz="0" w:space="0" w:color="auto"/>
        <w:left w:val="none" w:sz="0" w:space="0" w:color="auto"/>
        <w:bottom w:val="none" w:sz="0" w:space="0" w:color="auto"/>
        <w:right w:val="none" w:sz="0" w:space="0" w:color="auto"/>
      </w:divBdr>
    </w:div>
    <w:div w:id="411437955">
      <w:bodyDiv w:val="1"/>
      <w:marLeft w:val="0"/>
      <w:marRight w:val="0"/>
      <w:marTop w:val="0"/>
      <w:marBottom w:val="0"/>
      <w:divBdr>
        <w:top w:val="none" w:sz="0" w:space="0" w:color="auto"/>
        <w:left w:val="none" w:sz="0" w:space="0" w:color="auto"/>
        <w:bottom w:val="none" w:sz="0" w:space="0" w:color="auto"/>
        <w:right w:val="none" w:sz="0" w:space="0" w:color="auto"/>
      </w:divBdr>
    </w:div>
    <w:div w:id="427164467">
      <w:bodyDiv w:val="1"/>
      <w:marLeft w:val="0"/>
      <w:marRight w:val="0"/>
      <w:marTop w:val="0"/>
      <w:marBottom w:val="0"/>
      <w:divBdr>
        <w:top w:val="none" w:sz="0" w:space="0" w:color="auto"/>
        <w:left w:val="none" w:sz="0" w:space="0" w:color="auto"/>
        <w:bottom w:val="none" w:sz="0" w:space="0" w:color="auto"/>
        <w:right w:val="none" w:sz="0" w:space="0" w:color="auto"/>
      </w:divBdr>
    </w:div>
    <w:div w:id="427847540">
      <w:bodyDiv w:val="1"/>
      <w:marLeft w:val="0"/>
      <w:marRight w:val="0"/>
      <w:marTop w:val="0"/>
      <w:marBottom w:val="0"/>
      <w:divBdr>
        <w:top w:val="none" w:sz="0" w:space="0" w:color="auto"/>
        <w:left w:val="none" w:sz="0" w:space="0" w:color="auto"/>
        <w:bottom w:val="none" w:sz="0" w:space="0" w:color="auto"/>
        <w:right w:val="none" w:sz="0" w:space="0" w:color="auto"/>
      </w:divBdr>
    </w:div>
    <w:div w:id="457262441">
      <w:bodyDiv w:val="1"/>
      <w:marLeft w:val="0"/>
      <w:marRight w:val="0"/>
      <w:marTop w:val="0"/>
      <w:marBottom w:val="0"/>
      <w:divBdr>
        <w:top w:val="none" w:sz="0" w:space="0" w:color="auto"/>
        <w:left w:val="none" w:sz="0" w:space="0" w:color="auto"/>
        <w:bottom w:val="none" w:sz="0" w:space="0" w:color="auto"/>
        <w:right w:val="none" w:sz="0" w:space="0" w:color="auto"/>
      </w:divBdr>
    </w:div>
    <w:div w:id="462962311">
      <w:bodyDiv w:val="1"/>
      <w:marLeft w:val="0"/>
      <w:marRight w:val="0"/>
      <w:marTop w:val="0"/>
      <w:marBottom w:val="0"/>
      <w:divBdr>
        <w:top w:val="none" w:sz="0" w:space="0" w:color="auto"/>
        <w:left w:val="none" w:sz="0" w:space="0" w:color="auto"/>
        <w:bottom w:val="none" w:sz="0" w:space="0" w:color="auto"/>
        <w:right w:val="none" w:sz="0" w:space="0" w:color="auto"/>
      </w:divBdr>
    </w:div>
    <w:div w:id="506214120">
      <w:bodyDiv w:val="1"/>
      <w:marLeft w:val="0"/>
      <w:marRight w:val="0"/>
      <w:marTop w:val="0"/>
      <w:marBottom w:val="0"/>
      <w:divBdr>
        <w:top w:val="none" w:sz="0" w:space="0" w:color="auto"/>
        <w:left w:val="none" w:sz="0" w:space="0" w:color="auto"/>
        <w:bottom w:val="none" w:sz="0" w:space="0" w:color="auto"/>
        <w:right w:val="none" w:sz="0" w:space="0" w:color="auto"/>
      </w:divBdr>
    </w:div>
    <w:div w:id="523634310">
      <w:bodyDiv w:val="1"/>
      <w:marLeft w:val="0"/>
      <w:marRight w:val="0"/>
      <w:marTop w:val="0"/>
      <w:marBottom w:val="0"/>
      <w:divBdr>
        <w:top w:val="none" w:sz="0" w:space="0" w:color="auto"/>
        <w:left w:val="none" w:sz="0" w:space="0" w:color="auto"/>
        <w:bottom w:val="none" w:sz="0" w:space="0" w:color="auto"/>
        <w:right w:val="none" w:sz="0" w:space="0" w:color="auto"/>
      </w:divBdr>
    </w:div>
    <w:div w:id="525140461">
      <w:bodyDiv w:val="1"/>
      <w:marLeft w:val="0"/>
      <w:marRight w:val="0"/>
      <w:marTop w:val="0"/>
      <w:marBottom w:val="0"/>
      <w:divBdr>
        <w:top w:val="none" w:sz="0" w:space="0" w:color="auto"/>
        <w:left w:val="none" w:sz="0" w:space="0" w:color="auto"/>
        <w:bottom w:val="none" w:sz="0" w:space="0" w:color="auto"/>
        <w:right w:val="none" w:sz="0" w:space="0" w:color="auto"/>
      </w:divBdr>
    </w:div>
    <w:div w:id="583880041">
      <w:bodyDiv w:val="1"/>
      <w:marLeft w:val="0"/>
      <w:marRight w:val="0"/>
      <w:marTop w:val="0"/>
      <w:marBottom w:val="0"/>
      <w:divBdr>
        <w:top w:val="none" w:sz="0" w:space="0" w:color="auto"/>
        <w:left w:val="none" w:sz="0" w:space="0" w:color="auto"/>
        <w:bottom w:val="none" w:sz="0" w:space="0" w:color="auto"/>
        <w:right w:val="none" w:sz="0" w:space="0" w:color="auto"/>
      </w:divBdr>
    </w:div>
    <w:div w:id="685448092">
      <w:bodyDiv w:val="1"/>
      <w:marLeft w:val="0"/>
      <w:marRight w:val="0"/>
      <w:marTop w:val="0"/>
      <w:marBottom w:val="0"/>
      <w:divBdr>
        <w:top w:val="none" w:sz="0" w:space="0" w:color="auto"/>
        <w:left w:val="none" w:sz="0" w:space="0" w:color="auto"/>
        <w:bottom w:val="none" w:sz="0" w:space="0" w:color="auto"/>
        <w:right w:val="none" w:sz="0" w:space="0" w:color="auto"/>
      </w:divBdr>
    </w:div>
    <w:div w:id="750152771">
      <w:bodyDiv w:val="1"/>
      <w:marLeft w:val="0"/>
      <w:marRight w:val="0"/>
      <w:marTop w:val="0"/>
      <w:marBottom w:val="0"/>
      <w:divBdr>
        <w:top w:val="none" w:sz="0" w:space="0" w:color="auto"/>
        <w:left w:val="none" w:sz="0" w:space="0" w:color="auto"/>
        <w:bottom w:val="none" w:sz="0" w:space="0" w:color="auto"/>
        <w:right w:val="none" w:sz="0" w:space="0" w:color="auto"/>
      </w:divBdr>
    </w:div>
    <w:div w:id="780690063">
      <w:bodyDiv w:val="1"/>
      <w:marLeft w:val="0"/>
      <w:marRight w:val="0"/>
      <w:marTop w:val="0"/>
      <w:marBottom w:val="0"/>
      <w:divBdr>
        <w:top w:val="none" w:sz="0" w:space="0" w:color="auto"/>
        <w:left w:val="none" w:sz="0" w:space="0" w:color="auto"/>
        <w:bottom w:val="none" w:sz="0" w:space="0" w:color="auto"/>
        <w:right w:val="none" w:sz="0" w:space="0" w:color="auto"/>
      </w:divBdr>
    </w:div>
    <w:div w:id="899098828">
      <w:bodyDiv w:val="1"/>
      <w:marLeft w:val="0"/>
      <w:marRight w:val="0"/>
      <w:marTop w:val="0"/>
      <w:marBottom w:val="0"/>
      <w:divBdr>
        <w:top w:val="none" w:sz="0" w:space="0" w:color="auto"/>
        <w:left w:val="none" w:sz="0" w:space="0" w:color="auto"/>
        <w:bottom w:val="none" w:sz="0" w:space="0" w:color="auto"/>
        <w:right w:val="none" w:sz="0" w:space="0" w:color="auto"/>
      </w:divBdr>
    </w:div>
    <w:div w:id="1033192479">
      <w:bodyDiv w:val="1"/>
      <w:marLeft w:val="0"/>
      <w:marRight w:val="0"/>
      <w:marTop w:val="0"/>
      <w:marBottom w:val="0"/>
      <w:divBdr>
        <w:top w:val="none" w:sz="0" w:space="0" w:color="auto"/>
        <w:left w:val="none" w:sz="0" w:space="0" w:color="auto"/>
        <w:bottom w:val="none" w:sz="0" w:space="0" w:color="auto"/>
        <w:right w:val="none" w:sz="0" w:space="0" w:color="auto"/>
      </w:divBdr>
      <w:divsChild>
        <w:div w:id="166346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075983">
      <w:bodyDiv w:val="1"/>
      <w:marLeft w:val="0"/>
      <w:marRight w:val="0"/>
      <w:marTop w:val="0"/>
      <w:marBottom w:val="0"/>
      <w:divBdr>
        <w:top w:val="none" w:sz="0" w:space="0" w:color="auto"/>
        <w:left w:val="none" w:sz="0" w:space="0" w:color="auto"/>
        <w:bottom w:val="none" w:sz="0" w:space="0" w:color="auto"/>
        <w:right w:val="none" w:sz="0" w:space="0" w:color="auto"/>
      </w:divBdr>
    </w:div>
    <w:div w:id="1037510568">
      <w:bodyDiv w:val="1"/>
      <w:marLeft w:val="0"/>
      <w:marRight w:val="0"/>
      <w:marTop w:val="0"/>
      <w:marBottom w:val="0"/>
      <w:divBdr>
        <w:top w:val="none" w:sz="0" w:space="0" w:color="auto"/>
        <w:left w:val="none" w:sz="0" w:space="0" w:color="auto"/>
        <w:bottom w:val="none" w:sz="0" w:space="0" w:color="auto"/>
        <w:right w:val="none" w:sz="0" w:space="0" w:color="auto"/>
      </w:divBdr>
    </w:div>
    <w:div w:id="1080558983">
      <w:bodyDiv w:val="1"/>
      <w:marLeft w:val="0"/>
      <w:marRight w:val="0"/>
      <w:marTop w:val="0"/>
      <w:marBottom w:val="0"/>
      <w:divBdr>
        <w:top w:val="none" w:sz="0" w:space="0" w:color="auto"/>
        <w:left w:val="none" w:sz="0" w:space="0" w:color="auto"/>
        <w:bottom w:val="none" w:sz="0" w:space="0" w:color="auto"/>
        <w:right w:val="none" w:sz="0" w:space="0" w:color="auto"/>
      </w:divBdr>
    </w:div>
    <w:div w:id="1095827699">
      <w:bodyDiv w:val="1"/>
      <w:marLeft w:val="0"/>
      <w:marRight w:val="0"/>
      <w:marTop w:val="0"/>
      <w:marBottom w:val="0"/>
      <w:divBdr>
        <w:top w:val="none" w:sz="0" w:space="0" w:color="auto"/>
        <w:left w:val="none" w:sz="0" w:space="0" w:color="auto"/>
        <w:bottom w:val="none" w:sz="0" w:space="0" w:color="auto"/>
        <w:right w:val="none" w:sz="0" w:space="0" w:color="auto"/>
      </w:divBdr>
    </w:div>
    <w:div w:id="1140802298">
      <w:bodyDiv w:val="1"/>
      <w:marLeft w:val="0"/>
      <w:marRight w:val="0"/>
      <w:marTop w:val="0"/>
      <w:marBottom w:val="0"/>
      <w:divBdr>
        <w:top w:val="none" w:sz="0" w:space="0" w:color="auto"/>
        <w:left w:val="none" w:sz="0" w:space="0" w:color="auto"/>
        <w:bottom w:val="none" w:sz="0" w:space="0" w:color="auto"/>
        <w:right w:val="none" w:sz="0" w:space="0" w:color="auto"/>
      </w:divBdr>
    </w:div>
    <w:div w:id="1190686249">
      <w:bodyDiv w:val="1"/>
      <w:marLeft w:val="0"/>
      <w:marRight w:val="0"/>
      <w:marTop w:val="0"/>
      <w:marBottom w:val="0"/>
      <w:divBdr>
        <w:top w:val="none" w:sz="0" w:space="0" w:color="auto"/>
        <w:left w:val="none" w:sz="0" w:space="0" w:color="auto"/>
        <w:bottom w:val="none" w:sz="0" w:space="0" w:color="auto"/>
        <w:right w:val="none" w:sz="0" w:space="0" w:color="auto"/>
      </w:divBdr>
    </w:div>
    <w:div w:id="1202522352">
      <w:bodyDiv w:val="1"/>
      <w:marLeft w:val="0"/>
      <w:marRight w:val="0"/>
      <w:marTop w:val="0"/>
      <w:marBottom w:val="0"/>
      <w:divBdr>
        <w:top w:val="none" w:sz="0" w:space="0" w:color="auto"/>
        <w:left w:val="none" w:sz="0" w:space="0" w:color="auto"/>
        <w:bottom w:val="none" w:sz="0" w:space="0" w:color="auto"/>
        <w:right w:val="none" w:sz="0" w:space="0" w:color="auto"/>
      </w:divBdr>
    </w:div>
    <w:div w:id="1212300883">
      <w:bodyDiv w:val="1"/>
      <w:marLeft w:val="0"/>
      <w:marRight w:val="0"/>
      <w:marTop w:val="0"/>
      <w:marBottom w:val="0"/>
      <w:divBdr>
        <w:top w:val="none" w:sz="0" w:space="0" w:color="auto"/>
        <w:left w:val="none" w:sz="0" w:space="0" w:color="auto"/>
        <w:bottom w:val="none" w:sz="0" w:space="0" w:color="auto"/>
        <w:right w:val="none" w:sz="0" w:space="0" w:color="auto"/>
      </w:divBdr>
    </w:div>
    <w:div w:id="1242369524">
      <w:bodyDiv w:val="1"/>
      <w:marLeft w:val="0"/>
      <w:marRight w:val="0"/>
      <w:marTop w:val="0"/>
      <w:marBottom w:val="0"/>
      <w:divBdr>
        <w:top w:val="none" w:sz="0" w:space="0" w:color="auto"/>
        <w:left w:val="none" w:sz="0" w:space="0" w:color="auto"/>
        <w:bottom w:val="none" w:sz="0" w:space="0" w:color="auto"/>
        <w:right w:val="none" w:sz="0" w:space="0" w:color="auto"/>
      </w:divBdr>
    </w:div>
    <w:div w:id="1245994520">
      <w:bodyDiv w:val="1"/>
      <w:marLeft w:val="0"/>
      <w:marRight w:val="0"/>
      <w:marTop w:val="0"/>
      <w:marBottom w:val="0"/>
      <w:divBdr>
        <w:top w:val="none" w:sz="0" w:space="0" w:color="auto"/>
        <w:left w:val="none" w:sz="0" w:space="0" w:color="auto"/>
        <w:bottom w:val="none" w:sz="0" w:space="0" w:color="auto"/>
        <w:right w:val="none" w:sz="0" w:space="0" w:color="auto"/>
      </w:divBdr>
    </w:div>
    <w:div w:id="1258563559">
      <w:bodyDiv w:val="1"/>
      <w:marLeft w:val="0"/>
      <w:marRight w:val="0"/>
      <w:marTop w:val="0"/>
      <w:marBottom w:val="0"/>
      <w:divBdr>
        <w:top w:val="none" w:sz="0" w:space="0" w:color="auto"/>
        <w:left w:val="none" w:sz="0" w:space="0" w:color="auto"/>
        <w:bottom w:val="none" w:sz="0" w:space="0" w:color="auto"/>
        <w:right w:val="none" w:sz="0" w:space="0" w:color="auto"/>
      </w:divBdr>
    </w:div>
    <w:div w:id="1279525597">
      <w:bodyDiv w:val="1"/>
      <w:marLeft w:val="0"/>
      <w:marRight w:val="0"/>
      <w:marTop w:val="0"/>
      <w:marBottom w:val="0"/>
      <w:divBdr>
        <w:top w:val="none" w:sz="0" w:space="0" w:color="auto"/>
        <w:left w:val="none" w:sz="0" w:space="0" w:color="auto"/>
        <w:bottom w:val="none" w:sz="0" w:space="0" w:color="auto"/>
        <w:right w:val="none" w:sz="0" w:space="0" w:color="auto"/>
      </w:divBdr>
    </w:div>
    <w:div w:id="1304895633">
      <w:bodyDiv w:val="1"/>
      <w:marLeft w:val="0"/>
      <w:marRight w:val="0"/>
      <w:marTop w:val="0"/>
      <w:marBottom w:val="0"/>
      <w:divBdr>
        <w:top w:val="none" w:sz="0" w:space="0" w:color="auto"/>
        <w:left w:val="none" w:sz="0" w:space="0" w:color="auto"/>
        <w:bottom w:val="none" w:sz="0" w:space="0" w:color="auto"/>
        <w:right w:val="none" w:sz="0" w:space="0" w:color="auto"/>
      </w:divBdr>
    </w:div>
    <w:div w:id="1315600084">
      <w:bodyDiv w:val="1"/>
      <w:marLeft w:val="0"/>
      <w:marRight w:val="0"/>
      <w:marTop w:val="0"/>
      <w:marBottom w:val="0"/>
      <w:divBdr>
        <w:top w:val="none" w:sz="0" w:space="0" w:color="auto"/>
        <w:left w:val="none" w:sz="0" w:space="0" w:color="auto"/>
        <w:bottom w:val="none" w:sz="0" w:space="0" w:color="auto"/>
        <w:right w:val="none" w:sz="0" w:space="0" w:color="auto"/>
      </w:divBdr>
    </w:div>
    <w:div w:id="1344819850">
      <w:bodyDiv w:val="1"/>
      <w:marLeft w:val="0"/>
      <w:marRight w:val="0"/>
      <w:marTop w:val="0"/>
      <w:marBottom w:val="0"/>
      <w:divBdr>
        <w:top w:val="none" w:sz="0" w:space="0" w:color="auto"/>
        <w:left w:val="none" w:sz="0" w:space="0" w:color="auto"/>
        <w:bottom w:val="none" w:sz="0" w:space="0" w:color="auto"/>
        <w:right w:val="none" w:sz="0" w:space="0" w:color="auto"/>
      </w:divBdr>
    </w:div>
    <w:div w:id="1404371141">
      <w:bodyDiv w:val="1"/>
      <w:marLeft w:val="0"/>
      <w:marRight w:val="0"/>
      <w:marTop w:val="0"/>
      <w:marBottom w:val="0"/>
      <w:divBdr>
        <w:top w:val="none" w:sz="0" w:space="0" w:color="auto"/>
        <w:left w:val="none" w:sz="0" w:space="0" w:color="auto"/>
        <w:bottom w:val="none" w:sz="0" w:space="0" w:color="auto"/>
        <w:right w:val="none" w:sz="0" w:space="0" w:color="auto"/>
      </w:divBdr>
    </w:div>
    <w:div w:id="1480030346">
      <w:bodyDiv w:val="1"/>
      <w:marLeft w:val="0"/>
      <w:marRight w:val="0"/>
      <w:marTop w:val="0"/>
      <w:marBottom w:val="0"/>
      <w:divBdr>
        <w:top w:val="none" w:sz="0" w:space="0" w:color="auto"/>
        <w:left w:val="none" w:sz="0" w:space="0" w:color="auto"/>
        <w:bottom w:val="none" w:sz="0" w:space="0" w:color="auto"/>
        <w:right w:val="none" w:sz="0" w:space="0" w:color="auto"/>
      </w:divBdr>
    </w:div>
    <w:div w:id="1517305471">
      <w:bodyDiv w:val="1"/>
      <w:marLeft w:val="0"/>
      <w:marRight w:val="0"/>
      <w:marTop w:val="0"/>
      <w:marBottom w:val="0"/>
      <w:divBdr>
        <w:top w:val="none" w:sz="0" w:space="0" w:color="auto"/>
        <w:left w:val="none" w:sz="0" w:space="0" w:color="auto"/>
        <w:bottom w:val="none" w:sz="0" w:space="0" w:color="auto"/>
        <w:right w:val="none" w:sz="0" w:space="0" w:color="auto"/>
      </w:divBdr>
      <w:divsChild>
        <w:div w:id="174719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87156">
      <w:bodyDiv w:val="1"/>
      <w:marLeft w:val="0"/>
      <w:marRight w:val="0"/>
      <w:marTop w:val="0"/>
      <w:marBottom w:val="0"/>
      <w:divBdr>
        <w:top w:val="none" w:sz="0" w:space="0" w:color="auto"/>
        <w:left w:val="none" w:sz="0" w:space="0" w:color="auto"/>
        <w:bottom w:val="none" w:sz="0" w:space="0" w:color="auto"/>
        <w:right w:val="none" w:sz="0" w:space="0" w:color="auto"/>
      </w:divBdr>
    </w:div>
    <w:div w:id="1557082447">
      <w:bodyDiv w:val="1"/>
      <w:marLeft w:val="0"/>
      <w:marRight w:val="0"/>
      <w:marTop w:val="0"/>
      <w:marBottom w:val="0"/>
      <w:divBdr>
        <w:top w:val="none" w:sz="0" w:space="0" w:color="auto"/>
        <w:left w:val="none" w:sz="0" w:space="0" w:color="auto"/>
        <w:bottom w:val="none" w:sz="0" w:space="0" w:color="auto"/>
        <w:right w:val="none" w:sz="0" w:space="0" w:color="auto"/>
      </w:divBdr>
    </w:div>
    <w:div w:id="1577858460">
      <w:bodyDiv w:val="1"/>
      <w:marLeft w:val="0"/>
      <w:marRight w:val="0"/>
      <w:marTop w:val="0"/>
      <w:marBottom w:val="0"/>
      <w:divBdr>
        <w:top w:val="none" w:sz="0" w:space="0" w:color="auto"/>
        <w:left w:val="none" w:sz="0" w:space="0" w:color="auto"/>
        <w:bottom w:val="none" w:sz="0" w:space="0" w:color="auto"/>
        <w:right w:val="none" w:sz="0" w:space="0" w:color="auto"/>
      </w:divBdr>
    </w:div>
    <w:div w:id="1582593798">
      <w:bodyDiv w:val="1"/>
      <w:marLeft w:val="0"/>
      <w:marRight w:val="0"/>
      <w:marTop w:val="0"/>
      <w:marBottom w:val="0"/>
      <w:divBdr>
        <w:top w:val="none" w:sz="0" w:space="0" w:color="auto"/>
        <w:left w:val="none" w:sz="0" w:space="0" w:color="auto"/>
        <w:bottom w:val="none" w:sz="0" w:space="0" w:color="auto"/>
        <w:right w:val="none" w:sz="0" w:space="0" w:color="auto"/>
      </w:divBdr>
    </w:div>
    <w:div w:id="1627394403">
      <w:bodyDiv w:val="1"/>
      <w:marLeft w:val="0"/>
      <w:marRight w:val="0"/>
      <w:marTop w:val="0"/>
      <w:marBottom w:val="0"/>
      <w:divBdr>
        <w:top w:val="none" w:sz="0" w:space="0" w:color="auto"/>
        <w:left w:val="none" w:sz="0" w:space="0" w:color="auto"/>
        <w:bottom w:val="none" w:sz="0" w:space="0" w:color="auto"/>
        <w:right w:val="none" w:sz="0" w:space="0" w:color="auto"/>
      </w:divBdr>
    </w:div>
    <w:div w:id="1632049836">
      <w:bodyDiv w:val="1"/>
      <w:marLeft w:val="0"/>
      <w:marRight w:val="0"/>
      <w:marTop w:val="0"/>
      <w:marBottom w:val="0"/>
      <w:divBdr>
        <w:top w:val="none" w:sz="0" w:space="0" w:color="auto"/>
        <w:left w:val="none" w:sz="0" w:space="0" w:color="auto"/>
        <w:bottom w:val="none" w:sz="0" w:space="0" w:color="auto"/>
        <w:right w:val="none" w:sz="0" w:space="0" w:color="auto"/>
      </w:divBdr>
    </w:div>
    <w:div w:id="1642033327">
      <w:bodyDiv w:val="1"/>
      <w:marLeft w:val="0"/>
      <w:marRight w:val="0"/>
      <w:marTop w:val="0"/>
      <w:marBottom w:val="0"/>
      <w:divBdr>
        <w:top w:val="none" w:sz="0" w:space="0" w:color="auto"/>
        <w:left w:val="none" w:sz="0" w:space="0" w:color="auto"/>
        <w:bottom w:val="none" w:sz="0" w:space="0" w:color="auto"/>
        <w:right w:val="none" w:sz="0" w:space="0" w:color="auto"/>
      </w:divBdr>
    </w:div>
    <w:div w:id="1658269285">
      <w:bodyDiv w:val="1"/>
      <w:marLeft w:val="0"/>
      <w:marRight w:val="0"/>
      <w:marTop w:val="0"/>
      <w:marBottom w:val="0"/>
      <w:divBdr>
        <w:top w:val="none" w:sz="0" w:space="0" w:color="auto"/>
        <w:left w:val="none" w:sz="0" w:space="0" w:color="auto"/>
        <w:bottom w:val="none" w:sz="0" w:space="0" w:color="auto"/>
        <w:right w:val="none" w:sz="0" w:space="0" w:color="auto"/>
      </w:divBdr>
    </w:div>
    <w:div w:id="1719745905">
      <w:bodyDiv w:val="1"/>
      <w:marLeft w:val="0"/>
      <w:marRight w:val="0"/>
      <w:marTop w:val="0"/>
      <w:marBottom w:val="0"/>
      <w:divBdr>
        <w:top w:val="none" w:sz="0" w:space="0" w:color="auto"/>
        <w:left w:val="none" w:sz="0" w:space="0" w:color="auto"/>
        <w:bottom w:val="none" w:sz="0" w:space="0" w:color="auto"/>
        <w:right w:val="none" w:sz="0" w:space="0" w:color="auto"/>
      </w:divBdr>
    </w:div>
    <w:div w:id="1803494112">
      <w:bodyDiv w:val="1"/>
      <w:marLeft w:val="0"/>
      <w:marRight w:val="0"/>
      <w:marTop w:val="0"/>
      <w:marBottom w:val="0"/>
      <w:divBdr>
        <w:top w:val="none" w:sz="0" w:space="0" w:color="auto"/>
        <w:left w:val="none" w:sz="0" w:space="0" w:color="auto"/>
        <w:bottom w:val="none" w:sz="0" w:space="0" w:color="auto"/>
        <w:right w:val="none" w:sz="0" w:space="0" w:color="auto"/>
      </w:divBdr>
    </w:div>
    <w:div w:id="1808231756">
      <w:bodyDiv w:val="1"/>
      <w:marLeft w:val="0"/>
      <w:marRight w:val="0"/>
      <w:marTop w:val="0"/>
      <w:marBottom w:val="0"/>
      <w:divBdr>
        <w:top w:val="none" w:sz="0" w:space="0" w:color="auto"/>
        <w:left w:val="none" w:sz="0" w:space="0" w:color="auto"/>
        <w:bottom w:val="none" w:sz="0" w:space="0" w:color="auto"/>
        <w:right w:val="none" w:sz="0" w:space="0" w:color="auto"/>
      </w:divBdr>
    </w:div>
    <w:div w:id="1821729442">
      <w:bodyDiv w:val="1"/>
      <w:marLeft w:val="0"/>
      <w:marRight w:val="0"/>
      <w:marTop w:val="0"/>
      <w:marBottom w:val="0"/>
      <w:divBdr>
        <w:top w:val="none" w:sz="0" w:space="0" w:color="auto"/>
        <w:left w:val="none" w:sz="0" w:space="0" w:color="auto"/>
        <w:bottom w:val="none" w:sz="0" w:space="0" w:color="auto"/>
        <w:right w:val="none" w:sz="0" w:space="0" w:color="auto"/>
      </w:divBdr>
    </w:div>
    <w:div w:id="1863739654">
      <w:bodyDiv w:val="1"/>
      <w:marLeft w:val="0"/>
      <w:marRight w:val="0"/>
      <w:marTop w:val="0"/>
      <w:marBottom w:val="0"/>
      <w:divBdr>
        <w:top w:val="none" w:sz="0" w:space="0" w:color="auto"/>
        <w:left w:val="none" w:sz="0" w:space="0" w:color="auto"/>
        <w:bottom w:val="none" w:sz="0" w:space="0" w:color="auto"/>
        <w:right w:val="none" w:sz="0" w:space="0" w:color="auto"/>
      </w:divBdr>
    </w:div>
    <w:div w:id="1876890171">
      <w:bodyDiv w:val="1"/>
      <w:marLeft w:val="0"/>
      <w:marRight w:val="0"/>
      <w:marTop w:val="0"/>
      <w:marBottom w:val="0"/>
      <w:divBdr>
        <w:top w:val="none" w:sz="0" w:space="0" w:color="auto"/>
        <w:left w:val="none" w:sz="0" w:space="0" w:color="auto"/>
        <w:bottom w:val="none" w:sz="0" w:space="0" w:color="auto"/>
        <w:right w:val="none" w:sz="0" w:space="0" w:color="auto"/>
      </w:divBdr>
    </w:div>
    <w:div w:id="1883860319">
      <w:bodyDiv w:val="1"/>
      <w:marLeft w:val="0"/>
      <w:marRight w:val="0"/>
      <w:marTop w:val="0"/>
      <w:marBottom w:val="0"/>
      <w:divBdr>
        <w:top w:val="none" w:sz="0" w:space="0" w:color="auto"/>
        <w:left w:val="none" w:sz="0" w:space="0" w:color="auto"/>
        <w:bottom w:val="none" w:sz="0" w:space="0" w:color="auto"/>
        <w:right w:val="none" w:sz="0" w:space="0" w:color="auto"/>
      </w:divBdr>
    </w:div>
    <w:div w:id="1885484005">
      <w:bodyDiv w:val="1"/>
      <w:marLeft w:val="0"/>
      <w:marRight w:val="0"/>
      <w:marTop w:val="0"/>
      <w:marBottom w:val="0"/>
      <w:divBdr>
        <w:top w:val="none" w:sz="0" w:space="0" w:color="auto"/>
        <w:left w:val="none" w:sz="0" w:space="0" w:color="auto"/>
        <w:bottom w:val="none" w:sz="0" w:space="0" w:color="auto"/>
        <w:right w:val="none" w:sz="0" w:space="0" w:color="auto"/>
      </w:divBdr>
    </w:div>
    <w:div w:id="1900044749">
      <w:bodyDiv w:val="1"/>
      <w:marLeft w:val="0"/>
      <w:marRight w:val="0"/>
      <w:marTop w:val="0"/>
      <w:marBottom w:val="0"/>
      <w:divBdr>
        <w:top w:val="none" w:sz="0" w:space="0" w:color="auto"/>
        <w:left w:val="none" w:sz="0" w:space="0" w:color="auto"/>
        <w:bottom w:val="none" w:sz="0" w:space="0" w:color="auto"/>
        <w:right w:val="none" w:sz="0" w:space="0" w:color="auto"/>
      </w:divBdr>
    </w:div>
    <w:div w:id="1968316971">
      <w:bodyDiv w:val="1"/>
      <w:marLeft w:val="0"/>
      <w:marRight w:val="0"/>
      <w:marTop w:val="0"/>
      <w:marBottom w:val="0"/>
      <w:divBdr>
        <w:top w:val="none" w:sz="0" w:space="0" w:color="auto"/>
        <w:left w:val="none" w:sz="0" w:space="0" w:color="auto"/>
        <w:bottom w:val="none" w:sz="0" w:space="0" w:color="auto"/>
        <w:right w:val="none" w:sz="0" w:space="0" w:color="auto"/>
      </w:divBdr>
    </w:div>
    <w:div w:id="2043284794">
      <w:bodyDiv w:val="1"/>
      <w:marLeft w:val="0"/>
      <w:marRight w:val="0"/>
      <w:marTop w:val="0"/>
      <w:marBottom w:val="0"/>
      <w:divBdr>
        <w:top w:val="none" w:sz="0" w:space="0" w:color="auto"/>
        <w:left w:val="none" w:sz="0" w:space="0" w:color="auto"/>
        <w:bottom w:val="none" w:sz="0" w:space="0" w:color="auto"/>
        <w:right w:val="none" w:sz="0" w:space="0" w:color="auto"/>
      </w:divBdr>
    </w:div>
    <w:div w:id="21153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c97537-c18b-47b8-bf04-98a2ca64fb0d">
      <Terms xmlns="http://schemas.microsoft.com/office/infopath/2007/PartnerControls"/>
    </lcf76f155ced4ddcb4097134ff3c332f>
    <TaxCatchAll xmlns="acade6df-3349-4977-900c-eaa6c2ba1d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3EA3D42CCCC14FAA601E439D0BD7EB" ma:contentTypeVersion="13" ma:contentTypeDescription="Crear nuevo documento." ma:contentTypeScope="" ma:versionID="d4a01956dcaabb40d32d0085ef1a2c41">
  <xsd:schema xmlns:xsd="http://www.w3.org/2001/XMLSchema" xmlns:xs="http://www.w3.org/2001/XMLSchema" xmlns:p="http://schemas.microsoft.com/office/2006/metadata/properties" xmlns:ns2="afc97537-c18b-47b8-bf04-98a2ca64fb0d" xmlns:ns3="acade6df-3349-4977-900c-eaa6c2ba1de6" targetNamespace="http://schemas.microsoft.com/office/2006/metadata/properties" ma:root="true" ma:fieldsID="1208fab80718ac64d94dea2e3798c3e3" ns2:_="" ns3:_="">
    <xsd:import namespace="afc97537-c18b-47b8-bf04-98a2ca64fb0d"/>
    <xsd:import namespace="acade6df-3349-4977-900c-eaa6c2ba1d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97537-c18b-47b8-bf04-98a2ca64f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5287f6-a0ce-4ec6-a30b-593201b7cd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de6df-3349-4977-900c-eaa6c2ba1d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1ec376-5f8f-4143-8739-932ffb9cfb30}" ma:internalName="TaxCatchAll" ma:showField="CatchAllData" ma:web="acade6df-3349-4977-900c-eaa6c2ba1d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BC2A6-E17B-4A39-B250-8A24605ED602}">
  <ds:schemaRefs>
    <ds:schemaRef ds:uri="http://schemas.microsoft.com/office/2006/metadata/properties"/>
    <ds:schemaRef ds:uri="http://schemas.microsoft.com/office/infopath/2007/PartnerControls"/>
    <ds:schemaRef ds:uri="afc97537-c18b-47b8-bf04-98a2ca64fb0d"/>
    <ds:schemaRef ds:uri="acade6df-3349-4977-900c-eaa6c2ba1de6"/>
  </ds:schemaRefs>
</ds:datastoreItem>
</file>

<file path=customXml/itemProps2.xml><?xml version="1.0" encoding="utf-8"?>
<ds:datastoreItem xmlns:ds="http://schemas.openxmlformats.org/officeDocument/2006/customXml" ds:itemID="{78EC8177-493B-4DF1-8036-F89B7F0F96A1}">
  <ds:schemaRefs>
    <ds:schemaRef ds:uri="http://schemas.microsoft.com/sharepoint/v3/contenttype/forms"/>
  </ds:schemaRefs>
</ds:datastoreItem>
</file>

<file path=customXml/itemProps3.xml><?xml version="1.0" encoding="utf-8"?>
<ds:datastoreItem xmlns:ds="http://schemas.openxmlformats.org/officeDocument/2006/customXml" ds:itemID="{44DB0553-62BD-4E62-B708-BACA5D35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97537-c18b-47b8-bf04-98a2ca64fb0d"/>
    <ds:schemaRef ds:uri="acade6df-3349-4977-900c-eaa6c2ba1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1690</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Fuentes</dc:creator>
  <cp:keywords/>
  <dc:description/>
  <cp:lastModifiedBy>Araceli Vasquez</cp:lastModifiedBy>
  <cp:revision>3</cp:revision>
  <cp:lastPrinted>2025-04-22T18:00:00Z</cp:lastPrinted>
  <dcterms:created xsi:type="dcterms:W3CDTF">2025-06-29T22:03:00Z</dcterms:created>
  <dcterms:modified xsi:type="dcterms:W3CDTF">2025-07-03T03:20:00Z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0x010100453EA3D42CCCC14FAA601E439D0BD7EB</vt:lpwstr>
  </property>
  <property fmtid="{D5CDD505-2E9C-101B-9397-08002B2CF9AE}" pid="3" name="MediaServiceImageTags">
    <vt:lpwstr/>
  </property>
</Properties>
</file>